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D27D5" w14:textId="77777777" w:rsidR="0006698B" w:rsidRPr="00350E71" w:rsidRDefault="00B576BB" w:rsidP="003C2160">
      <w:pPr>
        <w:pStyle w:val="BodyText2"/>
        <w:spacing w:after="0" w:line="240" w:lineRule="auto"/>
        <w:jc w:val="center"/>
        <w:rPr>
          <w:b/>
          <w:sz w:val="24"/>
          <w:szCs w:val="24"/>
        </w:rPr>
      </w:pPr>
      <w:r w:rsidRPr="0034393D">
        <w:rPr>
          <w:b/>
          <w:bCs/>
          <w:sz w:val="24"/>
          <w:szCs w:val="24"/>
        </w:rPr>
        <w:t xml:space="preserve">SUMMARY TABLE ON </w:t>
      </w:r>
      <w:r w:rsidR="00745146" w:rsidRPr="0034393D">
        <w:rPr>
          <w:b/>
          <w:bCs/>
          <w:sz w:val="24"/>
          <w:szCs w:val="24"/>
        </w:rPr>
        <w:t xml:space="preserve">PROPOSED </w:t>
      </w:r>
      <w:r w:rsidRPr="0034393D">
        <w:rPr>
          <w:b/>
          <w:bCs/>
          <w:sz w:val="24"/>
          <w:szCs w:val="24"/>
        </w:rPr>
        <w:t xml:space="preserve">CHANGES </w:t>
      </w:r>
      <w:r w:rsidR="005F325F" w:rsidRPr="0034393D">
        <w:rPr>
          <w:b/>
          <w:bCs/>
          <w:sz w:val="24"/>
          <w:szCs w:val="24"/>
        </w:rPr>
        <w:t xml:space="preserve">TO THE INCOME TAX ACT </w:t>
      </w:r>
      <w:r w:rsidR="00ED19BB" w:rsidRPr="0034393D">
        <w:rPr>
          <w:b/>
          <w:bCs/>
          <w:sz w:val="24"/>
          <w:szCs w:val="24"/>
        </w:rPr>
        <w:t xml:space="preserve">(“ITA”) </w:t>
      </w:r>
      <w:r w:rsidR="005F325F" w:rsidRPr="0034393D">
        <w:rPr>
          <w:b/>
          <w:bCs/>
          <w:sz w:val="24"/>
          <w:szCs w:val="24"/>
        </w:rPr>
        <w:t>AS ANNOUNCED IN</w:t>
      </w:r>
      <w:r w:rsidRPr="0034393D">
        <w:rPr>
          <w:b/>
          <w:bCs/>
          <w:sz w:val="24"/>
          <w:szCs w:val="24"/>
        </w:rPr>
        <w:t xml:space="preserve"> </w:t>
      </w:r>
    </w:p>
    <w:p w14:paraId="0D2DF624" w14:textId="31A19DE3" w:rsidR="007F1B02" w:rsidRPr="004166FC" w:rsidRDefault="00CB4CF0" w:rsidP="004166FC">
      <w:pPr>
        <w:pStyle w:val="BodyText2"/>
        <w:spacing w:after="0" w:line="240" w:lineRule="auto"/>
        <w:jc w:val="center"/>
        <w:rPr>
          <w:b/>
          <w:sz w:val="24"/>
          <w:szCs w:val="24"/>
        </w:rPr>
      </w:pPr>
      <w:r>
        <w:rPr>
          <w:b/>
          <w:bCs/>
          <w:sz w:val="24"/>
          <w:szCs w:val="24"/>
        </w:rPr>
        <w:t xml:space="preserve">THE </w:t>
      </w:r>
      <w:r w:rsidR="00FE6643">
        <w:rPr>
          <w:b/>
          <w:bCs/>
          <w:sz w:val="24"/>
          <w:szCs w:val="24"/>
        </w:rPr>
        <w:t>2021</w:t>
      </w:r>
      <w:r>
        <w:rPr>
          <w:b/>
          <w:bCs/>
          <w:sz w:val="24"/>
          <w:szCs w:val="24"/>
        </w:rPr>
        <w:t xml:space="preserve"> </w:t>
      </w:r>
      <w:r w:rsidR="00B576BB" w:rsidRPr="0034393D">
        <w:rPr>
          <w:b/>
          <w:bCs/>
          <w:sz w:val="24"/>
          <w:szCs w:val="24"/>
        </w:rPr>
        <w:t xml:space="preserve">BUDGET </w:t>
      </w:r>
      <w:r w:rsidR="00833D13" w:rsidRPr="0034393D">
        <w:rPr>
          <w:b/>
          <w:bCs/>
          <w:sz w:val="24"/>
          <w:szCs w:val="24"/>
        </w:rPr>
        <w:t>STATEMENT</w:t>
      </w:r>
    </w:p>
    <w:p w14:paraId="37487BCD" w14:textId="77777777" w:rsidR="005B13DF" w:rsidRDefault="005B13DF" w:rsidP="00DB1164">
      <w:pPr>
        <w:rPr>
          <w:b/>
        </w:rPr>
      </w:pPr>
    </w:p>
    <w:tbl>
      <w:tblPr>
        <w:tblW w:w="13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
        <w:tblDescription w:val=""/>
      </w:tblPr>
      <w:tblGrid>
        <w:gridCol w:w="846"/>
        <w:gridCol w:w="3260"/>
        <w:gridCol w:w="6869"/>
        <w:gridCol w:w="2082"/>
      </w:tblGrid>
      <w:tr w:rsidR="000974A2" w:rsidRPr="000974A2" w14:paraId="5161D90A" w14:textId="77777777" w:rsidTr="0017256A">
        <w:trPr>
          <w:tblHeader/>
          <w:jc w:val="center"/>
        </w:trPr>
        <w:tc>
          <w:tcPr>
            <w:tcW w:w="846" w:type="dxa"/>
            <w:shd w:val="clear" w:color="auto" w:fill="E5DFEC" w:themeFill="accent4" w:themeFillTint="33"/>
          </w:tcPr>
          <w:p w14:paraId="72C22E34" w14:textId="77777777" w:rsidR="000974A2" w:rsidRPr="000974A2" w:rsidRDefault="000974A2" w:rsidP="007B3476">
            <w:pPr>
              <w:widowControl w:val="0"/>
              <w:jc w:val="both"/>
              <w:rPr>
                <w:rFonts w:eastAsia="SimSun"/>
                <w:b/>
              </w:rPr>
            </w:pPr>
            <w:r w:rsidRPr="00AA6671">
              <w:rPr>
                <w:rFonts w:eastAsia="SimSun"/>
                <w:b/>
              </w:rPr>
              <w:t>S/N</w:t>
            </w:r>
          </w:p>
        </w:tc>
        <w:tc>
          <w:tcPr>
            <w:tcW w:w="3260" w:type="dxa"/>
            <w:shd w:val="clear" w:color="auto" w:fill="E5DFEC" w:themeFill="accent4" w:themeFillTint="33"/>
          </w:tcPr>
          <w:p w14:paraId="1E736CB7" w14:textId="641136A3" w:rsidR="000974A2" w:rsidRPr="000974A2" w:rsidRDefault="005F682A" w:rsidP="007B3476">
            <w:pPr>
              <w:widowControl w:val="0"/>
              <w:jc w:val="both"/>
              <w:rPr>
                <w:rFonts w:eastAsia="SimSun"/>
                <w:b/>
              </w:rPr>
            </w:pPr>
            <w:r>
              <w:rPr>
                <w:rFonts w:eastAsia="SimSun"/>
                <w:b/>
              </w:rPr>
              <w:t xml:space="preserve">Proposed </w:t>
            </w:r>
            <w:r w:rsidR="000974A2" w:rsidRPr="00AA6671">
              <w:rPr>
                <w:rFonts w:eastAsia="SimSun"/>
                <w:b/>
              </w:rPr>
              <w:t>Legislative Change</w:t>
            </w:r>
          </w:p>
        </w:tc>
        <w:tc>
          <w:tcPr>
            <w:tcW w:w="6869" w:type="dxa"/>
            <w:shd w:val="clear" w:color="auto" w:fill="E5DFEC" w:themeFill="accent4" w:themeFillTint="33"/>
          </w:tcPr>
          <w:p w14:paraId="4D1E6AA4" w14:textId="39850879" w:rsidR="000974A2" w:rsidRPr="000974A2" w:rsidRDefault="000974A2" w:rsidP="007B3476">
            <w:pPr>
              <w:widowControl w:val="0"/>
              <w:jc w:val="both"/>
              <w:rPr>
                <w:rFonts w:eastAsia="SimSun"/>
                <w:b/>
              </w:rPr>
            </w:pPr>
            <w:r w:rsidRPr="00AA6671">
              <w:rPr>
                <w:rFonts w:eastAsia="SimSun"/>
                <w:b/>
              </w:rPr>
              <w:t xml:space="preserve">Brief Description of </w:t>
            </w:r>
            <w:r w:rsidR="005F682A">
              <w:rPr>
                <w:rFonts w:eastAsia="SimSun"/>
                <w:b/>
              </w:rPr>
              <w:t xml:space="preserve">Proposed </w:t>
            </w:r>
            <w:r w:rsidRPr="00AA6671">
              <w:rPr>
                <w:rFonts w:eastAsia="SimSun"/>
                <w:b/>
              </w:rPr>
              <w:t>Legislative Changes</w:t>
            </w:r>
          </w:p>
        </w:tc>
        <w:tc>
          <w:tcPr>
            <w:tcW w:w="2082" w:type="dxa"/>
            <w:shd w:val="clear" w:color="auto" w:fill="E5DFEC" w:themeFill="accent4" w:themeFillTint="33"/>
          </w:tcPr>
          <w:p w14:paraId="22EDFE54" w14:textId="3B40F4A9" w:rsidR="000974A2" w:rsidRDefault="005F682A" w:rsidP="007B3476">
            <w:pPr>
              <w:widowControl w:val="0"/>
              <w:jc w:val="both"/>
              <w:rPr>
                <w:rFonts w:eastAsia="SimSun"/>
                <w:b/>
              </w:rPr>
            </w:pPr>
            <w:r>
              <w:rPr>
                <w:rFonts w:eastAsia="SimSun"/>
                <w:b/>
              </w:rPr>
              <w:t xml:space="preserve">Proposed </w:t>
            </w:r>
            <w:r w:rsidR="000974A2" w:rsidRPr="00AA6671">
              <w:rPr>
                <w:rFonts w:eastAsia="SimSun"/>
                <w:b/>
              </w:rPr>
              <w:t xml:space="preserve">Amendment to ITA [Clause in </w:t>
            </w:r>
            <w:r>
              <w:rPr>
                <w:rFonts w:eastAsia="SimSun"/>
                <w:b/>
              </w:rPr>
              <w:t xml:space="preserve">Draft </w:t>
            </w:r>
            <w:r w:rsidR="000974A2" w:rsidRPr="00AA6671">
              <w:rPr>
                <w:rFonts w:eastAsia="SimSun"/>
                <w:b/>
              </w:rPr>
              <w:t>Income Tax Amendment Bill 20</w:t>
            </w:r>
            <w:r w:rsidR="00B437AB">
              <w:rPr>
                <w:rFonts w:eastAsia="SimSun"/>
                <w:b/>
              </w:rPr>
              <w:t>21</w:t>
            </w:r>
            <w:r w:rsidR="000974A2" w:rsidRPr="00AA6671">
              <w:rPr>
                <w:rFonts w:eastAsia="SimSun"/>
                <w:b/>
              </w:rPr>
              <w:t>]</w:t>
            </w:r>
          </w:p>
        </w:tc>
      </w:tr>
      <w:tr w:rsidR="00163704" w:rsidRPr="000974A2" w14:paraId="0F28B688" w14:textId="77777777" w:rsidTr="0017256A">
        <w:trPr>
          <w:jc w:val="center"/>
        </w:trPr>
        <w:tc>
          <w:tcPr>
            <w:tcW w:w="846" w:type="dxa"/>
          </w:tcPr>
          <w:p w14:paraId="31D03C7C" w14:textId="77777777" w:rsidR="00163704" w:rsidRPr="000974A2" w:rsidRDefault="00163704" w:rsidP="00163704">
            <w:pPr>
              <w:widowControl w:val="0"/>
              <w:numPr>
                <w:ilvl w:val="0"/>
                <w:numId w:val="40"/>
              </w:numPr>
              <w:jc w:val="both"/>
              <w:rPr>
                <w:rFonts w:eastAsia="PMingLiU"/>
                <w:b/>
              </w:rPr>
            </w:pPr>
          </w:p>
        </w:tc>
        <w:tc>
          <w:tcPr>
            <w:tcW w:w="3260" w:type="dxa"/>
          </w:tcPr>
          <w:p w14:paraId="1CAD3173" w14:textId="77A320A5" w:rsidR="00163704" w:rsidRPr="000974A2" w:rsidRDefault="00163704" w:rsidP="00163704">
            <w:pPr>
              <w:widowControl w:val="0"/>
              <w:jc w:val="both"/>
            </w:pPr>
            <w:r w:rsidRPr="00027F6E">
              <w:t xml:space="preserve">Extend the Year of Assessment (“YA”) 2020 enhancements to the carry-back relief scheme </w:t>
            </w:r>
          </w:p>
        </w:tc>
        <w:tc>
          <w:tcPr>
            <w:tcW w:w="6869" w:type="dxa"/>
          </w:tcPr>
          <w:p w14:paraId="560641E1" w14:textId="0AFC4D40" w:rsidR="00163704" w:rsidRPr="00234370" w:rsidRDefault="00163704" w:rsidP="00163704">
            <w:pPr>
              <w:pStyle w:val="ContentinTable"/>
              <w:spacing w:before="0" w:after="0" w:line="240" w:lineRule="auto"/>
              <w:rPr>
                <w:sz w:val="24"/>
              </w:rPr>
            </w:pPr>
            <w:r w:rsidRPr="00027F6E">
              <w:rPr>
                <w:sz w:val="24"/>
              </w:rPr>
              <w:t>To continue providing support to businesses, the enhancements to the carry-back relief scheme for YA</w:t>
            </w:r>
            <w:r>
              <w:rPr>
                <w:sz w:val="24"/>
              </w:rPr>
              <w:t xml:space="preserve"> </w:t>
            </w:r>
            <w:r w:rsidRPr="00027F6E">
              <w:rPr>
                <w:sz w:val="24"/>
              </w:rPr>
              <w:t xml:space="preserve">2020 will be extended </w:t>
            </w:r>
            <w:r>
              <w:rPr>
                <w:sz w:val="24"/>
              </w:rPr>
              <w:t>to</w:t>
            </w:r>
            <w:r w:rsidRPr="00027F6E">
              <w:rPr>
                <w:sz w:val="24"/>
              </w:rPr>
              <w:t xml:space="preserve"> YA 2021. Under the enhanced scheme, current year unabsorbed capital allowances (“CA”) and trade losses (collectively referred to as “qualifying deductions”) for YA</w:t>
            </w:r>
            <w:r>
              <w:rPr>
                <w:sz w:val="24"/>
              </w:rPr>
              <w:t xml:space="preserve"> </w:t>
            </w:r>
            <w:r w:rsidRPr="00027F6E">
              <w:rPr>
                <w:sz w:val="24"/>
              </w:rPr>
              <w:t xml:space="preserve">2021 may be carried back up to three immediate preceding YAs, capped at $100,000 of qualifying deductions, subject to conditions. </w:t>
            </w:r>
          </w:p>
        </w:tc>
        <w:tc>
          <w:tcPr>
            <w:tcW w:w="2082" w:type="dxa"/>
          </w:tcPr>
          <w:p w14:paraId="2F89DCD2" w14:textId="62E17351" w:rsidR="00163704" w:rsidRDefault="00163704" w:rsidP="00163704">
            <w:pPr>
              <w:jc w:val="both"/>
            </w:pPr>
            <w:r>
              <w:t>Section</w:t>
            </w:r>
            <w:r w:rsidR="00BF41EE">
              <w:t xml:space="preserve"> </w:t>
            </w:r>
            <w:r>
              <w:t>37E</w:t>
            </w:r>
          </w:p>
          <w:p w14:paraId="56E93F67" w14:textId="77777777" w:rsidR="00163704" w:rsidRDefault="00163704" w:rsidP="00163704">
            <w:pPr>
              <w:jc w:val="both"/>
            </w:pPr>
          </w:p>
          <w:p w14:paraId="491A407C" w14:textId="50D892C4" w:rsidR="00163704" w:rsidRPr="00A65CF7" w:rsidRDefault="00163704" w:rsidP="00163704">
            <w:pPr>
              <w:jc w:val="both"/>
            </w:pPr>
            <w:r>
              <w:t>[Clause</w:t>
            </w:r>
            <w:r w:rsidR="00BF41EE">
              <w:t xml:space="preserve"> </w:t>
            </w:r>
            <w:r>
              <w:t>30]</w:t>
            </w:r>
          </w:p>
        </w:tc>
      </w:tr>
      <w:tr w:rsidR="00163704" w:rsidRPr="000974A2" w14:paraId="5AFD792F" w14:textId="77777777" w:rsidTr="0017256A">
        <w:trPr>
          <w:jc w:val="center"/>
        </w:trPr>
        <w:tc>
          <w:tcPr>
            <w:tcW w:w="846" w:type="dxa"/>
          </w:tcPr>
          <w:p w14:paraId="27EF3EF2" w14:textId="77777777" w:rsidR="00163704" w:rsidRPr="000974A2" w:rsidRDefault="00163704" w:rsidP="00163704">
            <w:pPr>
              <w:widowControl w:val="0"/>
              <w:numPr>
                <w:ilvl w:val="0"/>
                <w:numId w:val="40"/>
              </w:numPr>
              <w:jc w:val="both"/>
              <w:rPr>
                <w:rFonts w:eastAsia="PMingLiU"/>
                <w:b/>
              </w:rPr>
            </w:pPr>
          </w:p>
        </w:tc>
        <w:tc>
          <w:tcPr>
            <w:tcW w:w="3260" w:type="dxa"/>
          </w:tcPr>
          <w:p w14:paraId="204EA4F4" w14:textId="77777777" w:rsidR="00163704" w:rsidRPr="000974A2" w:rsidRDefault="00163704" w:rsidP="00163704">
            <w:pPr>
              <w:widowControl w:val="0"/>
              <w:jc w:val="both"/>
              <w:rPr>
                <w:color w:val="000000"/>
              </w:rPr>
            </w:pPr>
            <w:r w:rsidRPr="00027F6E">
              <w:t>Extend the option to accelerate the write-off of the cost of acquiring plant and machinery (“P&amp;M”)</w:t>
            </w:r>
          </w:p>
        </w:tc>
        <w:tc>
          <w:tcPr>
            <w:tcW w:w="6869" w:type="dxa"/>
          </w:tcPr>
          <w:p w14:paraId="4903E39E" w14:textId="499341D7" w:rsidR="00163704" w:rsidRDefault="00163704" w:rsidP="00163704">
            <w:pPr>
              <w:jc w:val="both"/>
              <w:rPr>
                <w:color w:val="000000"/>
                <w:lang w:val="en-SG" w:eastAsia="zh-CN"/>
              </w:rPr>
            </w:pPr>
            <w:r w:rsidRPr="00027F6E">
              <w:rPr>
                <w:color w:val="000000"/>
                <w:lang w:eastAsia="zh-CN"/>
              </w:rPr>
              <w:t>T</w:t>
            </w:r>
            <w:r w:rsidRPr="00027F6E">
              <w:rPr>
                <w:color w:val="000000"/>
                <w:lang w:val="en-SG" w:eastAsia="zh-CN"/>
              </w:rPr>
              <w:t xml:space="preserve">o continue providing support to businesses, the option to accelerate the write-off of the cost of acquiring P&amp;M </w:t>
            </w:r>
            <w:r>
              <w:rPr>
                <w:color w:val="000000"/>
                <w:lang w:val="en-SG" w:eastAsia="zh-CN"/>
              </w:rPr>
              <w:t>over two years will</w:t>
            </w:r>
            <w:r w:rsidRPr="00027F6E">
              <w:rPr>
                <w:color w:val="000000"/>
                <w:lang w:val="en-SG" w:eastAsia="zh-CN"/>
              </w:rPr>
              <w:t xml:space="preserve"> be extended.</w:t>
            </w:r>
            <w:r w:rsidRPr="00027F6E" w:rsidDel="00F16E3F">
              <w:rPr>
                <w:color w:val="000000"/>
                <w:lang w:val="en-SG" w:eastAsia="zh-CN"/>
              </w:rPr>
              <w:t xml:space="preserve"> </w:t>
            </w:r>
            <w:r w:rsidRPr="00027F6E">
              <w:rPr>
                <w:color w:val="000000"/>
                <w:lang w:val="en-SG" w:eastAsia="zh-CN"/>
              </w:rPr>
              <w:t>Taxpayers who incurred capital expenditure on the acquisition of P&amp;M in the basis period for YA</w:t>
            </w:r>
            <w:r>
              <w:rPr>
                <w:color w:val="000000"/>
                <w:lang w:val="en-SG" w:eastAsia="zh-CN"/>
              </w:rPr>
              <w:t xml:space="preserve"> </w:t>
            </w:r>
            <w:r w:rsidRPr="00027F6E">
              <w:rPr>
                <w:color w:val="000000"/>
                <w:lang w:val="en-SG" w:eastAsia="zh-CN"/>
              </w:rPr>
              <w:t>202</w:t>
            </w:r>
            <w:r>
              <w:rPr>
                <w:color w:val="000000"/>
                <w:lang w:val="en-SG" w:eastAsia="zh-CN"/>
              </w:rPr>
              <w:t>2</w:t>
            </w:r>
            <w:r w:rsidRPr="00027F6E">
              <w:rPr>
                <w:color w:val="000000"/>
                <w:lang w:val="en-SG" w:eastAsia="zh-CN"/>
              </w:rPr>
              <w:t xml:space="preserve"> (i.e. financial year (“FY”) 202</w:t>
            </w:r>
            <w:r>
              <w:rPr>
                <w:color w:val="000000"/>
                <w:lang w:val="en-SG" w:eastAsia="zh-CN"/>
              </w:rPr>
              <w:t>1</w:t>
            </w:r>
            <w:r w:rsidRPr="00027F6E">
              <w:rPr>
                <w:color w:val="000000"/>
                <w:lang w:val="en-SG" w:eastAsia="zh-CN"/>
              </w:rPr>
              <w:t xml:space="preserve">) </w:t>
            </w:r>
            <w:r>
              <w:rPr>
                <w:color w:val="000000"/>
                <w:lang w:val="en-SG" w:eastAsia="zh-CN"/>
              </w:rPr>
              <w:t xml:space="preserve">have </w:t>
            </w:r>
            <w:r w:rsidRPr="00027F6E">
              <w:rPr>
                <w:color w:val="000000"/>
                <w:lang w:val="en-SG" w:eastAsia="zh-CN"/>
              </w:rPr>
              <w:t>an irrevocable option to accelerate the write-off of the cost of acquiring such P&amp;M over two years</w:t>
            </w:r>
            <w:r>
              <w:rPr>
                <w:color w:val="000000"/>
                <w:lang w:val="en-SG" w:eastAsia="zh-CN"/>
              </w:rPr>
              <w:t>, at specified rates</w:t>
            </w:r>
            <w:r w:rsidRPr="00027F6E">
              <w:rPr>
                <w:color w:val="000000"/>
                <w:lang w:val="en-SG" w:eastAsia="zh-CN"/>
              </w:rPr>
              <w:t>.</w:t>
            </w:r>
          </w:p>
          <w:p w14:paraId="5AF2A7DF" w14:textId="3EA05244" w:rsidR="00163704" w:rsidRDefault="00163704" w:rsidP="00163704">
            <w:pPr>
              <w:jc w:val="both"/>
              <w:rPr>
                <w:color w:val="000000"/>
                <w:lang w:val="en-SG" w:eastAsia="zh-CN"/>
              </w:rPr>
            </w:pPr>
          </w:p>
          <w:p w14:paraId="207D399E" w14:textId="6A179E2F" w:rsidR="00163704" w:rsidRPr="00234370" w:rsidRDefault="00163704" w:rsidP="00163704">
            <w:pPr>
              <w:jc w:val="both"/>
              <w:rPr>
                <w:color w:val="000000"/>
                <w:lang w:val="en-SG" w:eastAsia="zh-CN"/>
              </w:rPr>
            </w:pPr>
            <w:r>
              <w:rPr>
                <w:color w:val="000000"/>
                <w:lang w:val="en-SG" w:eastAsia="zh-CN"/>
              </w:rPr>
              <w:t xml:space="preserve">This option is in addition to the options currently available under Section 19 and 19A of the Income Tax Act </w:t>
            </w:r>
            <w:bookmarkStart w:id="0" w:name="_GoBack"/>
            <w:bookmarkEnd w:id="0"/>
            <w:r>
              <w:rPr>
                <w:color w:val="000000"/>
                <w:lang w:val="en-SG" w:eastAsia="zh-CN"/>
              </w:rPr>
              <w:t>(“ITA”).</w:t>
            </w:r>
          </w:p>
        </w:tc>
        <w:tc>
          <w:tcPr>
            <w:tcW w:w="2082" w:type="dxa"/>
          </w:tcPr>
          <w:p w14:paraId="1820B9EE" w14:textId="1F834657" w:rsidR="00163704" w:rsidRDefault="00163704" w:rsidP="00163704">
            <w:pPr>
              <w:jc w:val="both"/>
            </w:pPr>
            <w:r>
              <w:t>Section 19A</w:t>
            </w:r>
          </w:p>
          <w:p w14:paraId="3A898DB1" w14:textId="77777777" w:rsidR="00163704" w:rsidRDefault="00163704" w:rsidP="00163704">
            <w:pPr>
              <w:jc w:val="both"/>
            </w:pPr>
          </w:p>
          <w:p w14:paraId="7F181C2A" w14:textId="4A0D9BE9" w:rsidR="00163704" w:rsidRPr="000974A2" w:rsidRDefault="00163704" w:rsidP="00163704">
            <w:pPr>
              <w:jc w:val="both"/>
            </w:pPr>
            <w:r>
              <w:t>[Clause 19]</w:t>
            </w:r>
          </w:p>
        </w:tc>
      </w:tr>
      <w:tr w:rsidR="00163704" w:rsidRPr="000974A2" w14:paraId="379B5C23" w14:textId="77777777" w:rsidTr="0017256A">
        <w:trPr>
          <w:jc w:val="center"/>
        </w:trPr>
        <w:tc>
          <w:tcPr>
            <w:tcW w:w="846" w:type="dxa"/>
          </w:tcPr>
          <w:p w14:paraId="491ED8B7" w14:textId="77777777" w:rsidR="00163704" w:rsidRPr="000974A2" w:rsidRDefault="00163704" w:rsidP="00163704">
            <w:pPr>
              <w:widowControl w:val="0"/>
              <w:numPr>
                <w:ilvl w:val="0"/>
                <w:numId w:val="40"/>
              </w:numPr>
              <w:jc w:val="both"/>
              <w:rPr>
                <w:rFonts w:eastAsia="PMingLiU"/>
                <w:b/>
              </w:rPr>
            </w:pPr>
          </w:p>
        </w:tc>
        <w:tc>
          <w:tcPr>
            <w:tcW w:w="3260" w:type="dxa"/>
          </w:tcPr>
          <w:p w14:paraId="3F6CB9C0" w14:textId="77777777" w:rsidR="00163704" w:rsidRPr="000974A2" w:rsidRDefault="00163704" w:rsidP="00163704">
            <w:pPr>
              <w:pStyle w:val="Default"/>
              <w:jc w:val="both"/>
            </w:pPr>
            <w:r w:rsidRPr="00027F6E">
              <w:t>Extend the option to accelerate the deduction of renovation and refurbishment (“R&amp;R”) expenses</w:t>
            </w:r>
          </w:p>
        </w:tc>
        <w:tc>
          <w:tcPr>
            <w:tcW w:w="6869" w:type="dxa"/>
          </w:tcPr>
          <w:p w14:paraId="491EC959" w14:textId="2994CEA0" w:rsidR="00163704" w:rsidRPr="00027F6E" w:rsidRDefault="00163704" w:rsidP="00163704">
            <w:pPr>
              <w:pStyle w:val="Default"/>
              <w:jc w:val="both"/>
            </w:pPr>
            <w:r w:rsidRPr="00027F6E">
              <w:t xml:space="preserve">To continue providing support to businesses, the </w:t>
            </w:r>
            <w:r>
              <w:t xml:space="preserve">irrevocable </w:t>
            </w:r>
            <w:r w:rsidRPr="00027F6E">
              <w:t xml:space="preserve">option to claim R&amp;R deduction in one YA (i.e. accelerated R&amp;R deduction) will be extended to qualifying expenditure incurred on R&amp;R in the basis period for </w:t>
            </w:r>
            <w:r>
              <w:t>YA 20</w:t>
            </w:r>
            <w:r w:rsidRPr="00027F6E">
              <w:t xml:space="preserve">22 (i.e. </w:t>
            </w:r>
            <w:r>
              <w:t>FY 20</w:t>
            </w:r>
            <w:r w:rsidRPr="00027F6E">
              <w:t>21).</w:t>
            </w:r>
            <w:r>
              <w:t xml:space="preserve"> </w:t>
            </w:r>
            <w:r w:rsidRPr="00ED15E8">
              <w:t>The cap of $300,000 for every relevant period of three consecutive YAs continues to apply.</w:t>
            </w:r>
          </w:p>
          <w:p w14:paraId="6FAE3F6A" w14:textId="77777777" w:rsidR="00163704" w:rsidRDefault="00163704" w:rsidP="00163704">
            <w:pPr>
              <w:pStyle w:val="Default"/>
              <w:jc w:val="both"/>
            </w:pPr>
          </w:p>
          <w:p w14:paraId="3D1F49ED" w14:textId="1EA19613" w:rsidR="00163704" w:rsidRPr="00234370" w:rsidRDefault="00163704" w:rsidP="00163704">
            <w:pPr>
              <w:pStyle w:val="Default"/>
              <w:jc w:val="both"/>
            </w:pPr>
            <w:r w:rsidRPr="00ED15E8">
              <w:lastRenderedPageBreak/>
              <w:t>This option is in addition to the existing option under Section 14Q of the ITA.</w:t>
            </w:r>
          </w:p>
        </w:tc>
        <w:tc>
          <w:tcPr>
            <w:tcW w:w="2082" w:type="dxa"/>
          </w:tcPr>
          <w:p w14:paraId="072326F8" w14:textId="77777777" w:rsidR="00163704" w:rsidRDefault="00163704" w:rsidP="00163704">
            <w:pPr>
              <w:pStyle w:val="ContentinTable"/>
              <w:spacing w:before="0" w:after="0" w:line="240" w:lineRule="auto"/>
              <w:rPr>
                <w:color w:val="000000" w:themeColor="text1"/>
                <w:sz w:val="24"/>
              </w:rPr>
            </w:pPr>
            <w:r>
              <w:rPr>
                <w:color w:val="000000" w:themeColor="text1"/>
                <w:sz w:val="24"/>
              </w:rPr>
              <w:lastRenderedPageBreak/>
              <w:t>Section 14Q</w:t>
            </w:r>
          </w:p>
          <w:p w14:paraId="6A9AAC17" w14:textId="77777777" w:rsidR="00163704" w:rsidRDefault="00163704" w:rsidP="00163704">
            <w:pPr>
              <w:pStyle w:val="ContentinTable"/>
              <w:spacing w:before="0" w:after="0" w:line="240" w:lineRule="auto"/>
              <w:rPr>
                <w:color w:val="000000" w:themeColor="text1"/>
                <w:sz w:val="24"/>
              </w:rPr>
            </w:pPr>
          </w:p>
          <w:p w14:paraId="7463E6D4" w14:textId="4AC8F0CE" w:rsidR="00163704" w:rsidRPr="000974A2" w:rsidRDefault="00163704" w:rsidP="00163704">
            <w:pPr>
              <w:pStyle w:val="ContentinTable"/>
              <w:spacing w:before="0" w:after="0" w:line="240" w:lineRule="auto"/>
              <w:rPr>
                <w:color w:val="000000" w:themeColor="text1"/>
                <w:sz w:val="24"/>
              </w:rPr>
            </w:pPr>
            <w:r>
              <w:rPr>
                <w:color w:val="000000" w:themeColor="text1"/>
                <w:sz w:val="24"/>
              </w:rPr>
              <w:t>[Clause 12]</w:t>
            </w:r>
          </w:p>
        </w:tc>
      </w:tr>
      <w:tr w:rsidR="00163704" w:rsidRPr="000974A2" w14:paraId="7106D1D8" w14:textId="77777777" w:rsidTr="0017256A">
        <w:trPr>
          <w:jc w:val="center"/>
        </w:trPr>
        <w:tc>
          <w:tcPr>
            <w:tcW w:w="846" w:type="dxa"/>
          </w:tcPr>
          <w:p w14:paraId="5E2A6DC6" w14:textId="77777777" w:rsidR="00163704" w:rsidRPr="000974A2" w:rsidRDefault="00163704" w:rsidP="00163704">
            <w:pPr>
              <w:widowControl w:val="0"/>
              <w:numPr>
                <w:ilvl w:val="0"/>
                <w:numId w:val="40"/>
              </w:numPr>
              <w:jc w:val="both"/>
              <w:rPr>
                <w:rFonts w:eastAsia="PMingLiU"/>
                <w:b/>
              </w:rPr>
            </w:pPr>
          </w:p>
        </w:tc>
        <w:tc>
          <w:tcPr>
            <w:tcW w:w="3260" w:type="dxa"/>
          </w:tcPr>
          <w:p w14:paraId="1CC23493" w14:textId="289CBC2A" w:rsidR="00163704" w:rsidRPr="000974A2" w:rsidRDefault="00163704" w:rsidP="00163704">
            <w:pPr>
              <w:widowControl w:val="0"/>
              <w:jc w:val="both"/>
              <w:rPr>
                <w:color w:val="000000"/>
              </w:rPr>
            </w:pPr>
            <w:r w:rsidRPr="00027F6E">
              <w:t xml:space="preserve">Enhance the </w:t>
            </w:r>
            <w:r>
              <w:t xml:space="preserve">Double Tax Deduction for </w:t>
            </w:r>
            <w:proofErr w:type="spellStart"/>
            <w:r>
              <w:t>Internationalisation</w:t>
            </w:r>
            <w:proofErr w:type="spellEnd"/>
            <w:r>
              <w:t xml:space="preserve"> (“</w:t>
            </w:r>
            <w:proofErr w:type="spellStart"/>
            <w:r w:rsidRPr="00027F6E">
              <w:t>DTDi</w:t>
            </w:r>
            <w:proofErr w:type="spellEnd"/>
            <w:r>
              <w:t>”)</w:t>
            </w:r>
            <w:r w:rsidRPr="00027F6E">
              <w:t xml:space="preserve"> scheme</w:t>
            </w:r>
          </w:p>
        </w:tc>
        <w:tc>
          <w:tcPr>
            <w:tcW w:w="6869" w:type="dxa"/>
          </w:tcPr>
          <w:p w14:paraId="6167B79A" w14:textId="651D62A4" w:rsidR="00163704" w:rsidRPr="00027F6E" w:rsidRDefault="00163704" w:rsidP="00163704">
            <w:pPr>
              <w:pStyle w:val="Default"/>
              <w:jc w:val="both"/>
            </w:pPr>
            <w:r w:rsidRPr="00027F6E">
              <w:t xml:space="preserve">To continue supporting internationalisation efforts of businesses amid changes in the business environment, the </w:t>
            </w:r>
            <w:r>
              <w:t xml:space="preserve">proposed amendments seek to enhance </w:t>
            </w:r>
            <w:r w:rsidRPr="00027F6E">
              <w:t xml:space="preserve">the scope of the </w:t>
            </w:r>
            <w:proofErr w:type="spellStart"/>
            <w:r w:rsidRPr="00027F6E">
              <w:t>DTDi</w:t>
            </w:r>
            <w:proofErr w:type="spellEnd"/>
            <w:r w:rsidRPr="00027F6E">
              <w:t xml:space="preserve"> scheme to cover the following specified expenses incurred to participate in approved</w:t>
            </w:r>
            <w:r w:rsidRPr="00027F6E">
              <w:rPr>
                <w:rStyle w:val="FootnoteReference"/>
              </w:rPr>
              <w:footnoteReference w:id="2"/>
            </w:r>
            <w:r w:rsidRPr="00027F6E">
              <w:t xml:space="preserve"> virtual trade fairs: </w:t>
            </w:r>
          </w:p>
          <w:p w14:paraId="712580E8" w14:textId="77777777" w:rsidR="00163704" w:rsidRPr="00027F6E" w:rsidRDefault="00163704" w:rsidP="00163704">
            <w:pPr>
              <w:pStyle w:val="Default"/>
              <w:numPr>
                <w:ilvl w:val="0"/>
                <w:numId w:val="42"/>
              </w:numPr>
              <w:ind w:left="213" w:hanging="213"/>
              <w:jc w:val="both"/>
            </w:pPr>
            <w:r w:rsidRPr="00027F6E">
              <w:t xml:space="preserve">Package fees charged by event organisers for virtual exhibition hall and booth access, collateral creation, business meeting/match sessions, pitches/product launches/speaking slots, webinar/conference, and post event analytics; </w:t>
            </w:r>
          </w:p>
          <w:p w14:paraId="46CF2B28" w14:textId="77777777" w:rsidR="00163704" w:rsidRPr="00027F6E" w:rsidRDefault="00163704" w:rsidP="00163704">
            <w:pPr>
              <w:pStyle w:val="Default"/>
              <w:numPr>
                <w:ilvl w:val="0"/>
                <w:numId w:val="42"/>
              </w:numPr>
              <w:ind w:left="213" w:hanging="213"/>
              <w:jc w:val="both"/>
            </w:pPr>
            <w:r w:rsidRPr="00027F6E">
              <w:t xml:space="preserve">Third-party costs for design and production of digital collaterals and promotion materials for virtual fairs; and </w:t>
            </w:r>
          </w:p>
          <w:p w14:paraId="14B78682" w14:textId="77777777" w:rsidR="00163704" w:rsidRPr="00027F6E" w:rsidRDefault="00163704" w:rsidP="00163704">
            <w:pPr>
              <w:pStyle w:val="Default"/>
              <w:numPr>
                <w:ilvl w:val="0"/>
                <w:numId w:val="42"/>
              </w:numPr>
              <w:ind w:left="213" w:hanging="213"/>
              <w:jc w:val="both"/>
            </w:pPr>
            <w:r w:rsidRPr="00027F6E">
              <w:t>Logistics costs incurred to send materials/samples overseas to potential clients met at virtual trade fairs</w:t>
            </w:r>
            <w:r w:rsidRPr="00027F6E">
              <w:rPr>
                <w:rStyle w:val="FootnoteReference"/>
              </w:rPr>
              <w:footnoteReference w:id="3"/>
            </w:r>
            <w:r w:rsidRPr="00027F6E">
              <w:t xml:space="preserve">. </w:t>
            </w:r>
          </w:p>
          <w:p w14:paraId="7B72F760" w14:textId="77777777" w:rsidR="00163704" w:rsidRPr="00027F6E" w:rsidRDefault="00163704" w:rsidP="00163704">
            <w:pPr>
              <w:pStyle w:val="Default"/>
              <w:jc w:val="both"/>
            </w:pPr>
          </w:p>
          <w:p w14:paraId="7D2B343C" w14:textId="17F7B452" w:rsidR="00163704" w:rsidRPr="00027F6E" w:rsidRDefault="00163704" w:rsidP="00163704">
            <w:pPr>
              <w:pStyle w:val="Default"/>
              <w:jc w:val="both"/>
            </w:pPr>
            <w:r>
              <w:t>The proposed amendments also seek to expand t</w:t>
            </w:r>
            <w:r w:rsidRPr="00027F6E">
              <w:t xml:space="preserve">he list of qualifying expenses for </w:t>
            </w:r>
            <w:r>
              <w:t xml:space="preserve">participation in </w:t>
            </w:r>
            <w:r w:rsidRPr="00027F6E">
              <w:t xml:space="preserve">overseas investment study trips to include logistics costs to transport materials/samples used during the investment trips. </w:t>
            </w:r>
          </w:p>
          <w:p w14:paraId="196DECF2" w14:textId="77777777" w:rsidR="00163704" w:rsidRPr="00027F6E" w:rsidRDefault="00163704" w:rsidP="00163704">
            <w:pPr>
              <w:pStyle w:val="Default"/>
              <w:jc w:val="both"/>
            </w:pPr>
          </w:p>
          <w:p w14:paraId="4191C1E1" w14:textId="6EC71590" w:rsidR="00163704" w:rsidRPr="00027F6E" w:rsidRDefault="00163704" w:rsidP="00163704">
            <w:pPr>
              <w:pStyle w:val="Default"/>
              <w:jc w:val="both"/>
            </w:pPr>
            <w:r w:rsidRPr="00027F6E">
              <w:t xml:space="preserve">In addition, the scope of activities </w:t>
            </w:r>
            <w:r>
              <w:t>for which the expenses incurred would qualify for a 200% tax deduction without</w:t>
            </w:r>
            <w:r w:rsidRPr="00027F6E">
              <w:t xml:space="preserve"> prior approval from Enterprise Singapore or </w:t>
            </w:r>
            <w:r>
              <w:t>the Singapore Tourism Board</w:t>
            </w:r>
            <w:r w:rsidRPr="00027F6E" w:rsidDel="00E03E25">
              <w:t xml:space="preserve"> </w:t>
            </w:r>
            <w:r>
              <w:t>(“</w:t>
            </w:r>
            <w:r w:rsidRPr="00027F6E">
              <w:t>STB</w:t>
            </w:r>
            <w:r>
              <w:t>”)</w:t>
            </w:r>
            <w:r w:rsidRPr="00027F6E">
              <w:t xml:space="preserve"> will be enhanced to cover the following additional activities, up to the current annual expense cap of $150,000: </w:t>
            </w:r>
          </w:p>
          <w:p w14:paraId="4AE4060A" w14:textId="77777777" w:rsidR="00163704" w:rsidRDefault="00163704" w:rsidP="00163704">
            <w:pPr>
              <w:pStyle w:val="Default"/>
              <w:numPr>
                <w:ilvl w:val="0"/>
                <w:numId w:val="47"/>
              </w:numPr>
              <w:ind w:left="213" w:hanging="213"/>
              <w:jc w:val="both"/>
            </w:pPr>
            <w:r w:rsidRPr="00027F6E">
              <w:t xml:space="preserve">Product/service certification (primarily to increase buyer’s </w:t>
            </w:r>
            <w:r>
              <w:t xml:space="preserve"> </w:t>
            </w:r>
            <w:r w:rsidRPr="00027F6E">
              <w:t>acceptance in overseas markets) approved by Enterprise Singapore;</w:t>
            </w:r>
          </w:p>
          <w:p w14:paraId="6EBDF0FC" w14:textId="77777777" w:rsidR="00163704" w:rsidRDefault="00163704" w:rsidP="00163704">
            <w:pPr>
              <w:pStyle w:val="Default"/>
              <w:numPr>
                <w:ilvl w:val="0"/>
                <w:numId w:val="47"/>
              </w:numPr>
              <w:ind w:left="213" w:hanging="213"/>
              <w:jc w:val="both"/>
            </w:pPr>
            <w:r w:rsidRPr="00027F6E">
              <w:t xml:space="preserve">Overseas advertising and promotional campaign; </w:t>
            </w:r>
          </w:p>
          <w:p w14:paraId="0DFA059F" w14:textId="77777777" w:rsidR="00163704" w:rsidRDefault="00163704" w:rsidP="00163704">
            <w:pPr>
              <w:pStyle w:val="Default"/>
              <w:numPr>
                <w:ilvl w:val="0"/>
                <w:numId w:val="47"/>
              </w:numPr>
              <w:ind w:left="213" w:hanging="213"/>
              <w:jc w:val="both"/>
            </w:pPr>
            <w:r w:rsidRPr="00027F6E">
              <w:t xml:space="preserve">Design of packaging for overseas markets; </w:t>
            </w:r>
          </w:p>
          <w:p w14:paraId="41DE47FE" w14:textId="77777777" w:rsidR="00163704" w:rsidRDefault="00163704" w:rsidP="00163704">
            <w:pPr>
              <w:pStyle w:val="Default"/>
              <w:numPr>
                <w:ilvl w:val="0"/>
                <w:numId w:val="47"/>
              </w:numPr>
              <w:ind w:left="213" w:hanging="213"/>
              <w:jc w:val="both"/>
            </w:pPr>
            <w:r w:rsidRPr="00027F6E">
              <w:t xml:space="preserve">Advertising in approved local trade publication; and </w:t>
            </w:r>
          </w:p>
          <w:p w14:paraId="3048295A" w14:textId="7CF443E9" w:rsidR="00163704" w:rsidRPr="00027F6E" w:rsidRDefault="00163704" w:rsidP="00163704">
            <w:pPr>
              <w:pStyle w:val="Default"/>
              <w:numPr>
                <w:ilvl w:val="0"/>
                <w:numId w:val="47"/>
              </w:numPr>
              <w:ind w:left="213" w:hanging="213"/>
              <w:jc w:val="both"/>
            </w:pPr>
            <w:r w:rsidRPr="00027F6E">
              <w:t xml:space="preserve">Participation in virtual trade fairs approved by Enterprise Singapore. </w:t>
            </w:r>
          </w:p>
          <w:p w14:paraId="5B673504" w14:textId="77777777" w:rsidR="00163704" w:rsidRPr="00027F6E" w:rsidRDefault="00163704" w:rsidP="00163704">
            <w:pPr>
              <w:pStyle w:val="Default"/>
              <w:jc w:val="both"/>
            </w:pPr>
          </w:p>
          <w:p w14:paraId="2169B3B2" w14:textId="7FBA685D" w:rsidR="00163704" w:rsidRPr="00027F6E" w:rsidRDefault="00163704" w:rsidP="00163704">
            <w:pPr>
              <w:pStyle w:val="Default"/>
              <w:jc w:val="both"/>
            </w:pPr>
            <w:r w:rsidRPr="00027F6E">
              <w:t xml:space="preserve">The above </w:t>
            </w:r>
            <w:r>
              <w:t xml:space="preserve">proposed </w:t>
            </w:r>
            <w:r w:rsidRPr="00027F6E">
              <w:t>enhancements</w:t>
            </w:r>
            <w:r>
              <w:t>,</w:t>
            </w:r>
            <w:r w:rsidRPr="00027F6E">
              <w:t xml:space="preserve"> </w:t>
            </w:r>
            <w:r>
              <w:t>if approved, will</w:t>
            </w:r>
            <w:r w:rsidRPr="00027F6E">
              <w:t xml:space="preserve"> take effect for qualifying expenses incurred on or after 17 February 2021. </w:t>
            </w:r>
          </w:p>
          <w:p w14:paraId="6F1F73F3" w14:textId="77777777" w:rsidR="00163704" w:rsidRDefault="00163704" w:rsidP="00163704">
            <w:pPr>
              <w:pStyle w:val="Default"/>
              <w:jc w:val="both"/>
            </w:pPr>
          </w:p>
          <w:p w14:paraId="24B02BA3" w14:textId="43045987" w:rsidR="00163704" w:rsidRPr="000974A2" w:rsidRDefault="00163704" w:rsidP="00163704">
            <w:pPr>
              <w:ind w:right="113"/>
              <w:jc w:val="both"/>
            </w:pPr>
            <w:r>
              <w:t>The</w:t>
            </w:r>
            <w:r w:rsidRPr="00027F6E">
              <w:t xml:space="preserve"> </w:t>
            </w:r>
            <w:r>
              <w:t xml:space="preserve">draft bill also seeks </w:t>
            </w:r>
            <w:r w:rsidRPr="00027F6E">
              <w:t xml:space="preserve">to provide for the introduction of subsidiary legislation to specify the expenses </w:t>
            </w:r>
            <w:r>
              <w:t>incurred (</w:t>
            </w:r>
            <w:r w:rsidRPr="00027F6E">
              <w:t xml:space="preserve">in respect of </w:t>
            </w:r>
            <w:r w:rsidRPr="00027F6E" w:rsidDel="00E03E25">
              <w:t xml:space="preserve">qualifying </w:t>
            </w:r>
            <w:r w:rsidRPr="00027F6E">
              <w:t>activities</w:t>
            </w:r>
            <w:r>
              <w:t>)</w:t>
            </w:r>
            <w:r w:rsidRPr="00027F6E">
              <w:t xml:space="preserve"> that </w:t>
            </w:r>
            <w:r>
              <w:t xml:space="preserve">would </w:t>
            </w:r>
            <w:r w:rsidRPr="00027F6E">
              <w:t>qualify for</w:t>
            </w:r>
            <w:r>
              <w:t xml:space="preserve"> a</w:t>
            </w:r>
            <w:r w:rsidRPr="00027F6E">
              <w:t xml:space="preserve"> </w:t>
            </w:r>
            <w:r>
              <w:t xml:space="preserve">200% tax </w:t>
            </w:r>
            <w:r w:rsidRPr="00027F6E">
              <w:t>deduction without the need to obtain prior approval from Enterprise Singapore or STB. Th</w:t>
            </w:r>
            <w:r>
              <w:t>e</w:t>
            </w:r>
            <w:r w:rsidRPr="00027F6E">
              <w:t xml:space="preserve"> </w:t>
            </w:r>
            <w:r>
              <w:t>subsidiary legislation</w:t>
            </w:r>
            <w:r w:rsidRPr="00027F6E">
              <w:t xml:space="preserve"> seeks to provide greater clarity for businesses and </w:t>
            </w:r>
            <w:r>
              <w:t>is to</w:t>
            </w:r>
            <w:r w:rsidRPr="00027F6E">
              <w:t xml:space="preserve"> take effect from 17 February 2021.   </w:t>
            </w:r>
          </w:p>
        </w:tc>
        <w:tc>
          <w:tcPr>
            <w:tcW w:w="2082" w:type="dxa"/>
          </w:tcPr>
          <w:p w14:paraId="19CAF1BE" w14:textId="77777777" w:rsidR="00163704" w:rsidRDefault="00163704" w:rsidP="00163704">
            <w:pPr>
              <w:ind w:right="113"/>
              <w:jc w:val="both"/>
            </w:pPr>
            <w:r>
              <w:lastRenderedPageBreak/>
              <w:t>Sections 14B and 14K</w:t>
            </w:r>
          </w:p>
          <w:p w14:paraId="19A8D6E0" w14:textId="77777777" w:rsidR="00163704" w:rsidRDefault="00163704" w:rsidP="00163704">
            <w:pPr>
              <w:ind w:right="113"/>
              <w:jc w:val="both"/>
            </w:pPr>
          </w:p>
          <w:p w14:paraId="1586D785" w14:textId="7D480279" w:rsidR="00163704" w:rsidRPr="000974A2" w:rsidRDefault="00163704" w:rsidP="00163704">
            <w:pPr>
              <w:ind w:right="113"/>
              <w:jc w:val="both"/>
            </w:pPr>
            <w:r>
              <w:t>[Clauses 8 and 11]</w:t>
            </w:r>
          </w:p>
        </w:tc>
      </w:tr>
      <w:tr w:rsidR="00163704" w:rsidRPr="000974A2" w14:paraId="4F7401C3" w14:textId="77777777" w:rsidTr="0017256A">
        <w:trPr>
          <w:trHeight w:val="389"/>
          <w:jc w:val="center"/>
        </w:trPr>
        <w:tc>
          <w:tcPr>
            <w:tcW w:w="846" w:type="dxa"/>
          </w:tcPr>
          <w:p w14:paraId="2DAD4514" w14:textId="77777777" w:rsidR="00163704" w:rsidRPr="000974A2" w:rsidRDefault="00163704" w:rsidP="00163704">
            <w:pPr>
              <w:widowControl w:val="0"/>
              <w:numPr>
                <w:ilvl w:val="0"/>
                <w:numId w:val="40"/>
              </w:numPr>
              <w:jc w:val="both"/>
              <w:rPr>
                <w:rFonts w:eastAsia="PMingLiU"/>
                <w:b/>
              </w:rPr>
            </w:pPr>
          </w:p>
        </w:tc>
        <w:tc>
          <w:tcPr>
            <w:tcW w:w="3260" w:type="dxa"/>
          </w:tcPr>
          <w:p w14:paraId="6B3FE29C" w14:textId="42F8EF45" w:rsidR="00163704" w:rsidRPr="000974A2" w:rsidRDefault="00163704" w:rsidP="00163704">
            <w:pPr>
              <w:pStyle w:val="Default"/>
              <w:jc w:val="both"/>
            </w:pPr>
            <w:r w:rsidRPr="00027F6E">
              <w:t xml:space="preserve">Extend the 250% Tax Deduction for Qualifying Donations </w:t>
            </w:r>
          </w:p>
        </w:tc>
        <w:tc>
          <w:tcPr>
            <w:tcW w:w="6869" w:type="dxa"/>
          </w:tcPr>
          <w:p w14:paraId="0CE56C6B" w14:textId="253BE956" w:rsidR="00163704" w:rsidRPr="00027F6E" w:rsidRDefault="00163704" w:rsidP="00163704">
            <w:pPr>
              <w:pStyle w:val="Default"/>
              <w:jc w:val="both"/>
            </w:pPr>
            <w:r w:rsidRPr="00027F6E">
              <w:t xml:space="preserve">To continue encouraging Singaporeans to give back to the community, the </w:t>
            </w:r>
            <w:r>
              <w:t xml:space="preserve">proposed amendment seeks to extend </w:t>
            </w:r>
            <w:r w:rsidRPr="00027F6E">
              <w:t xml:space="preserve">the 250% tax deduction for qualifying donations made to </w:t>
            </w:r>
            <w:r>
              <w:t>Institutions of a Public Character (“IPCs”)</w:t>
            </w:r>
            <w:r w:rsidRPr="00027F6E">
              <w:t xml:space="preserve"> and other qualifying recipients for another two years, i.e. for qualifying donations made during the period</w:t>
            </w:r>
            <w:r w:rsidRPr="00027F6E" w:rsidDel="00E464D2">
              <w:t xml:space="preserve"> </w:t>
            </w:r>
            <w:r w:rsidRPr="00027F6E">
              <w:t xml:space="preserve">1 January 2022 to 31 December 2023 (both dates inclusive). </w:t>
            </w:r>
          </w:p>
          <w:p w14:paraId="587CEE28" w14:textId="77777777" w:rsidR="00163704" w:rsidRPr="00027F6E" w:rsidRDefault="00163704" w:rsidP="00163704">
            <w:pPr>
              <w:pStyle w:val="Default"/>
              <w:numPr>
                <w:ilvl w:val="0"/>
                <w:numId w:val="43"/>
              </w:numPr>
              <w:jc w:val="both"/>
            </w:pPr>
          </w:p>
          <w:p w14:paraId="4BC95197" w14:textId="77777777" w:rsidR="00163704" w:rsidRPr="000974A2" w:rsidRDefault="00163704" w:rsidP="00163704">
            <w:pPr>
              <w:jc w:val="both"/>
            </w:pPr>
            <w:r w:rsidRPr="00027F6E">
              <w:t xml:space="preserve">All other conditions of the scheme remain the same. </w:t>
            </w:r>
          </w:p>
        </w:tc>
        <w:tc>
          <w:tcPr>
            <w:tcW w:w="2082" w:type="dxa"/>
          </w:tcPr>
          <w:p w14:paraId="4E93D783" w14:textId="77777777" w:rsidR="00163704" w:rsidRDefault="00163704" w:rsidP="00163704">
            <w:pPr>
              <w:pStyle w:val="Default"/>
              <w:jc w:val="both"/>
            </w:pPr>
            <w:r>
              <w:t>Section 37</w:t>
            </w:r>
          </w:p>
          <w:p w14:paraId="18BFAAAA" w14:textId="77777777" w:rsidR="00163704" w:rsidRDefault="00163704" w:rsidP="00163704">
            <w:pPr>
              <w:pStyle w:val="Default"/>
              <w:jc w:val="both"/>
            </w:pPr>
          </w:p>
          <w:p w14:paraId="054BFEA0" w14:textId="0C02E8B8" w:rsidR="00163704" w:rsidRPr="000974A2" w:rsidRDefault="00163704" w:rsidP="00163704">
            <w:pPr>
              <w:pStyle w:val="Default"/>
              <w:jc w:val="both"/>
            </w:pPr>
            <w:r>
              <w:t>[Clause 27]</w:t>
            </w:r>
          </w:p>
        </w:tc>
      </w:tr>
      <w:tr w:rsidR="00163704" w:rsidRPr="000974A2" w14:paraId="34E4F656" w14:textId="77777777" w:rsidTr="0017256A">
        <w:trPr>
          <w:jc w:val="center"/>
        </w:trPr>
        <w:tc>
          <w:tcPr>
            <w:tcW w:w="846" w:type="dxa"/>
          </w:tcPr>
          <w:p w14:paraId="3074742D" w14:textId="77777777" w:rsidR="00163704" w:rsidRPr="000974A2" w:rsidRDefault="00163704" w:rsidP="00163704">
            <w:pPr>
              <w:widowControl w:val="0"/>
              <w:numPr>
                <w:ilvl w:val="0"/>
                <w:numId w:val="40"/>
              </w:numPr>
              <w:jc w:val="both"/>
              <w:rPr>
                <w:rFonts w:eastAsia="PMingLiU"/>
                <w:b/>
              </w:rPr>
            </w:pPr>
          </w:p>
        </w:tc>
        <w:tc>
          <w:tcPr>
            <w:tcW w:w="3260" w:type="dxa"/>
          </w:tcPr>
          <w:p w14:paraId="7E99B01F" w14:textId="521B3D47" w:rsidR="00163704" w:rsidRPr="000974A2" w:rsidRDefault="00163704" w:rsidP="00163704">
            <w:pPr>
              <w:pStyle w:val="Default"/>
              <w:jc w:val="both"/>
            </w:pPr>
            <w:r w:rsidRPr="00027F6E">
              <w:t>Extend and refine the double tax deduction (“DTD”) scheme for qualifying upfront cost attributable to retail bonds issued under MAS’ Bond Seasoning and Exempt Bond Issuer Frameworks</w:t>
            </w:r>
          </w:p>
        </w:tc>
        <w:tc>
          <w:tcPr>
            <w:tcW w:w="6869" w:type="dxa"/>
          </w:tcPr>
          <w:p w14:paraId="690683EE" w14:textId="0F452252" w:rsidR="00163704" w:rsidRPr="00027F6E" w:rsidRDefault="00163704" w:rsidP="00163704">
            <w:pPr>
              <w:pStyle w:val="Default"/>
              <w:jc w:val="both"/>
            </w:pPr>
            <w:r w:rsidRPr="00027F6E">
              <w:t xml:space="preserve">To promote rated retail bond issuances, the </w:t>
            </w:r>
            <w:r>
              <w:t xml:space="preserve">proposed amendments seek to extend the </w:t>
            </w:r>
            <w:r w:rsidRPr="00027F6E">
              <w:t>DTD scheme for qualifying upfront cost incurred on or after 19 May 2021 that is attributable to rated retail bonds</w:t>
            </w:r>
            <w:r w:rsidRPr="00027F6E">
              <w:rPr>
                <w:rStyle w:val="FootnoteReference"/>
              </w:rPr>
              <w:footnoteReference w:id="4"/>
            </w:r>
            <w:r w:rsidRPr="00027F6E">
              <w:t xml:space="preserve"> (instead of all retail bonds) issued during the period from 19 May 2021 to 31 December 2026 (both dates inclusive) under MAS’ Seasoning Framework</w:t>
            </w:r>
            <w:r w:rsidRPr="00027F6E">
              <w:rPr>
                <w:rStyle w:val="FootnoteReference"/>
              </w:rPr>
              <w:footnoteReference w:id="5"/>
            </w:r>
            <w:r w:rsidRPr="00027F6E">
              <w:t xml:space="preserve"> and Exempt Bond Issuer Framework</w:t>
            </w:r>
            <w:r w:rsidRPr="00027F6E">
              <w:rPr>
                <w:rStyle w:val="FootnoteReference"/>
              </w:rPr>
              <w:footnoteReference w:id="6"/>
            </w:r>
            <w:r w:rsidRPr="00027F6E">
              <w:t>. The refinement of the DTD scheme seeks to provide investors with access to rated retail bonds. Credit rating improves market transparency by providing timely and independent assessments of the creditworthiness of bond issuers.</w:t>
            </w:r>
          </w:p>
          <w:p w14:paraId="0B7EA9B6" w14:textId="77777777" w:rsidR="00163704" w:rsidRPr="00027F6E" w:rsidRDefault="00163704" w:rsidP="00163704">
            <w:pPr>
              <w:pStyle w:val="Default"/>
              <w:jc w:val="both"/>
            </w:pPr>
          </w:p>
          <w:p w14:paraId="15416770" w14:textId="77777777" w:rsidR="00163704" w:rsidRPr="00027F6E" w:rsidRDefault="00163704" w:rsidP="00163704">
            <w:pPr>
              <w:pStyle w:val="Default"/>
              <w:jc w:val="both"/>
            </w:pPr>
            <w:r w:rsidRPr="00027F6E">
              <w:lastRenderedPageBreak/>
              <w:t>All other conditions of the DTD scheme remain the same.</w:t>
            </w:r>
          </w:p>
          <w:p w14:paraId="0929EFA2" w14:textId="77777777" w:rsidR="00163704" w:rsidRPr="00027F6E" w:rsidRDefault="00163704" w:rsidP="00163704">
            <w:pPr>
              <w:pStyle w:val="Default"/>
              <w:jc w:val="both"/>
            </w:pPr>
          </w:p>
          <w:p w14:paraId="28DAD951" w14:textId="1F137B47" w:rsidR="00163704" w:rsidRPr="000974A2" w:rsidRDefault="00163704" w:rsidP="00163704">
            <w:pPr>
              <w:pStyle w:val="Default"/>
              <w:jc w:val="both"/>
            </w:pPr>
            <w:r w:rsidRPr="00027F6E">
              <w:t xml:space="preserve">The </w:t>
            </w:r>
            <w:r>
              <w:t>proposed</w:t>
            </w:r>
            <w:r w:rsidRPr="00027F6E">
              <w:t xml:space="preserve"> amendments</w:t>
            </w:r>
            <w:r>
              <w:t xml:space="preserve">, if approved, will </w:t>
            </w:r>
            <w:r w:rsidRPr="00027F6E">
              <w:t>take effect from 19 May 2021.</w:t>
            </w:r>
          </w:p>
        </w:tc>
        <w:tc>
          <w:tcPr>
            <w:tcW w:w="2082" w:type="dxa"/>
          </w:tcPr>
          <w:p w14:paraId="66A68DB8" w14:textId="77777777" w:rsidR="00163704" w:rsidRDefault="00163704" w:rsidP="00163704">
            <w:pPr>
              <w:pStyle w:val="Default"/>
              <w:jc w:val="both"/>
            </w:pPr>
            <w:r>
              <w:lastRenderedPageBreak/>
              <w:t>Section 14ZA</w:t>
            </w:r>
          </w:p>
          <w:p w14:paraId="1E97B27F" w14:textId="77777777" w:rsidR="00163704" w:rsidRDefault="00163704" w:rsidP="00163704">
            <w:pPr>
              <w:pStyle w:val="Default"/>
              <w:jc w:val="both"/>
            </w:pPr>
          </w:p>
          <w:p w14:paraId="6ECFCC7E" w14:textId="3CA78622" w:rsidR="00163704" w:rsidRPr="000974A2" w:rsidRDefault="00163704" w:rsidP="00163704">
            <w:pPr>
              <w:pStyle w:val="Default"/>
              <w:jc w:val="both"/>
            </w:pPr>
            <w:r>
              <w:t>[Clause 13]</w:t>
            </w:r>
          </w:p>
        </w:tc>
      </w:tr>
      <w:tr w:rsidR="00163704" w:rsidRPr="000974A2" w14:paraId="5B3B56E2" w14:textId="77777777" w:rsidTr="0017256A">
        <w:trPr>
          <w:jc w:val="center"/>
        </w:trPr>
        <w:tc>
          <w:tcPr>
            <w:tcW w:w="846" w:type="dxa"/>
          </w:tcPr>
          <w:p w14:paraId="4ECAFEC2" w14:textId="77777777" w:rsidR="00163704" w:rsidRPr="000974A2" w:rsidRDefault="00163704" w:rsidP="00163704">
            <w:pPr>
              <w:widowControl w:val="0"/>
              <w:numPr>
                <w:ilvl w:val="0"/>
                <w:numId w:val="40"/>
              </w:numPr>
              <w:jc w:val="both"/>
              <w:rPr>
                <w:rFonts w:eastAsia="PMingLiU"/>
                <w:b/>
              </w:rPr>
            </w:pPr>
          </w:p>
        </w:tc>
        <w:tc>
          <w:tcPr>
            <w:tcW w:w="3260" w:type="dxa"/>
          </w:tcPr>
          <w:p w14:paraId="5C9C372F" w14:textId="77777777" w:rsidR="00163704" w:rsidRPr="000974A2" w:rsidRDefault="00163704" w:rsidP="00163704">
            <w:pPr>
              <w:pStyle w:val="Default"/>
              <w:jc w:val="both"/>
            </w:pPr>
            <w:r w:rsidRPr="00027F6E">
              <w:t>Extend the withholding tax (“WHT”) exemption for the financial sector</w:t>
            </w:r>
          </w:p>
        </w:tc>
        <w:tc>
          <w:tcPr>
            <w:tcW w:w="6869" w:type="dxa"/>
          </w:tcPr>
          <w:p w14:paraId="6FFDF6B0" w14:textId="77777777" w:rsidR="00163704" w:rsidRPr="00027F6E" w:rsidRDefault="00163704" w:rsidP="00163704">
            <w:pPr>
              <w:pStyle w:val="Default"/>
              <w:jc w:val="both"/>
            </w:pPr>
            <w:r w:rsidRPr="00027F6E">
              <w:t>To support Singapore’s value proposition and competitiveness of our financial sector, specified entities</w:t>
            </w:r>
            <w:r w:rsidRPr="00027F6E">
              <w:rPr>
                <w:rStyle w:val="FootnoteReference"/>
              </w:rPr>
              <w:footnoteReference w:id="7"/>
            </w:r>
            <w:r w:rsidRPr="00027F6E">
              <w:t xml:space="preserve"> are not required to withhold tax on all Section 12(6) payments</w:t>
            </w:r>
            <w:r w:rsidRPr="00027F6E">
              <w:rPr>
                <w:rStyle w:val="FootnoteReference"/>
              </w:rPr>
              <w:footnoteReference w:id="8"/>
            </w:r>
            <w:r w:rsidRPr="00027F6E">
              <w:t xml:space="preserve"> made to any Permanent Establishment (“PE”) in Singapore of a non-resident person if the payments:</w:t>
            </w:r>
          </w:p>
          <w:p w14:paraId="4D9468A1" w14:textId="77777777" w:rsidR="00163704" w:rsidRPr="00027F6E" w:rsidRDefault="00163704" w:rsidP="00163704">
            <w:pPr>
              <w:pStyle w:val="Default"/>
              <w:ind w:left="1440"/>
              <w:jc w:val="both"/>
            </w:pPr>
          </w:p>
          <w:p w14:paraId="517EB690" w14:textId="77777777" w:rsidR="00163704" w:rsidRPr="00027F6E" w:rsidRDefault="00163704" w:rsidP="00163704">
            <w:pPr>
              <w:pStyle w:val="Default"/>
              <w:jc w:val="both"/>
            </w:pPr>
            <w:r w:rsidRPr="00027F6E">
              <w:t xml:space="preserve">a) are made during the period from 17 February 2012 to 31 December 2026 (both dates inclusive) under a contract that took effect before 17 February 2012; or </w:t>
            </w:r>
          </w:p>
          <w:p w14:paraId="052E967F" w14:textId="77777777" w:rsidR="00163704" w:rsidRPr="00027F6E" w:rsidRDefault="00163704" w:rsidP="00163704">
            <w:pPr>
              <w:pStyle w:val="Default"/>
              <w:jc w:val="both"/>
            </w:pPr>
            <w:r w:rsidRPr="00027F6E">
              <w:t xml:space="preserve">b) are made under a contract that takes effect during the period from 17 February 2012 to 31 December 2026 (both dates inclusive). In such cases, the specified entities do not need to withhold tax on all Section 12(6) payments that are made for the entire duration of the contract, including payments that are made beyond 31 December 2026 under that contract. </w:t>
            </w:r>
          </w:p>
          <w:p w14:paraId="675033FE" w14:textId="77777777" w:rsidR="00163704" w:rsidRPr="00027F6E" w:rsidRDefault="00163704" w:rsidP="00163704">
            <w:pPr>
              <w:pStyle w:val="Default"/>
              <w:ind w:left="720"/>
              <w:jc w:val="both"/>
            </w:pPr>
          </w:p>
          <w:p w14:paraId="0AE77769" w14:textId="77777777" w:rsidR="00163704" w:rsidRPr="00027F6E" w:rsidRDefault="00163704" w:rsidP="00163704">
            <w:pPr>
              <w:pStyle w:val="Default"/>
              <w:jc w:val="both"/>
            </w:pPr>
            <w:r w:rsidRPr="00027F6E">
              <w:lastRenderedPageBreak/>
              <w:t>As per the existing tax treatment, any non-resident person with a PE in Singapore is required to declare the Section 12(6) payments received in respect of the PE in the person’s annual income tax returns and be assessed to tax on such payments (unless the payments are specifically exempt from tax)</w:t>
            </w:r>
            <w:r w:rsidRPr="00027F6E">
              <w:rPr>
                <w:rStyle w:val="FootnoteReference"/>
              </w:rPr>
              <w:footnoteReference w:id="9"/>
            </w:r>
            <w:r w:rsidRPr="00027F6E">
              <w:t>.</w:t>
            </w:r>
          </w:p>
          <w:p w14:paraId="68CC8475" w14:textId="77777777" w:rsidR="00163704" w:rsidRPr="00027F6E" w:rsidRDefault="00163704" w:rsidP="00163704">
            <w:pPr>
              <w:pStyle w:val="Default"/>
              <w:jc w:val="both"/>
            </w:pPr>
          </w:p>
          <w:p w14:paraId="09026A47" w14:textId="7AF1A48E" w:rsidR="00163704" w:rsidRPr="004166FC" w:rsidRDefault="00163704" w:rsidP="00163704">
            <w:pPr>
              <w:pStyle w:val="wordsection1"/>
              <w:jc w:val="both"/>
              <w:rPr>
                <w:rFonts w:eastAsia="Times New Roman"/>
                <w:lang w:eastAsia="en-US"/>
              </w:rPr>
            </w:pPr>
            <w:r w:rsidRPr="00027F6E">
              <w:t xml:space="preserve">The </w:t>
            </w:r>
            <w:r>
              <w:t>proposed</w:t>
            </w:r>
            <w:r w:rsidRPr="00027F6E">
              <w:t xml:space="preserve"> amendment</w:t>
            </w:r>
            <w:r>
              <w:t>, if approved, will</w:t>
            </w:r>
            <w:r w:rsidRPr="00027F6E">
              <w:t xml:space="preserve"> take effect from 1 April 2021.</w:t>
            </w:r>
          </w:p>
        </w:tc>
        <w:tc>
          <w:tcPr>
            <w:tcW w:w="2082" w:type="dxa"/>
          </w:tcPr>
          <w:p w14:paraId="01D19195" w14:textId="77777777" w:rsidR="00163704" w:rsidRDefault="00163704" w:rsidP="00163704">
            <w:pPr>
              <w:pStyle w:val="wordsection1"/>
              <w:jc w:val="both"/>
              <w:rPr>
                <w:lang w:val="en-US"/>
              </w:rPr>
            </w:pPr>
            <w:r>
              <w:rPr>
                <w:lang w:val="en-US"/>
              </w:rPr>
              <w:lastRenderedPageBreak/>
              <w:t>Section 45I</w:t>
            </w:r>
          </w:p>
          <w:p w14:paraId="5FCAC2B1" w14:textId="77777777" w:rsidR="00163704" w:rsidRDefault="00163704" w:rsidP="00163704">
            <w:pPr>
              <w:pStyle w:val="wordsection1"/>
              <w:jc w:val="both"/>
              <w:rPr>
                <w:lang w:val="en-US"/>
              </w:rPr>
            </w:pPr>
          </w:p>
          <w:p w14:paraId="3CB3DD3E" w14:textId="009BD7AC" w:rsidR="00163704" w:rsidRPr="000974A2" w:rsidRDefault="00163704" w:rsidP="00163704">
            <w:pPr>
              <w:pStyle w:val="wordsection1"/>
              <w:jc w:val="both"/>
              <w:rPr>
                <w:lang w:val="en-US"/>
              </w:rPr>
            </w:pPr>
            <w:r>
              <w:rPr>
                <w:lang w:val="en-US"/>
              </w:rPr>
              <w:t>[Clause 40]</w:t>
            </w:r>
          </w:p>
        </w:tc>
      </w:tr>
      <w:tr w:rsidR="00163704" w:rsidRPr="000974A2" w14:paraId="49B1341A" w14:textId="77777777" w:rsidTr="0017256A">
        <w:trPr>
          <w:jc w:val="center"/>
        </w:trPr>
        <w:tc>
          <w:tcPr>
            <w:tcW w:w="846" w:type="dxa"/>
          </w:tcPr>
          <w:p w14:paraId="0E810142" w14:textId="77777777" w:rsidR="00163704" w:rsidRPr="000974A2" w:rsidRDefault="00163704" w:rsidP="00163704">
            <w:pPr>
              <w:widowControl w:val="0"/>
              <w:numPr>
                <w:ilvl w:val="0"/>
                <w:numId w:val="40"/>
              </w:numPr>
              <w:jc w:val="both"/>
              <w:rPr>
                <w:rFonts w:eastAsia="PMingLiU"/>
                <w:b/>
              </w:rPr>
            </w:pPr>
          </w:p>
        </w:tc>
        <w:tc>
          <w:tcPr>
            <w:tcW w:w="3260" w:type="dxa"/>
          </w:tcPr>
          <w:p w14:paraId="0619FCB3" w14:textId="77777777" w:rsidR="00163704" w:rsidRPr="000974A2" w:rsidRDefault="00163704" w:rsidP="00163704">
            <w:pPr>
              <w:pStyle w:val="Default"/>
              <w:jc w:val="both"/>
            </w:pPr>
            <w:r w:rsidRPr="00027F6E">
              <w:t>Extend the WHT exemption on payments made for structured products</w:t>
            </w:r>
          </w:p>
        </w:tc>
        <w:tc>
          <w:tcPr>
            <w:tcW w:w="6869" w:type="dxa"/>
          </w:tcPr>
          <w:p w14:paraId="2E000997" w14:textId="0C62D12A" w:rsidR="00163704" w:rsidRPr="00027F6E" w:rsidRDefault="00163704" w:rsidP="00163704">
            <w:pPr>
              <w:pStyle w:val="Default"/>
              <w:jc w:val="both"/>
            </w:pPr>
            <w:r w:rsidRPr="00027F6E">
              <w:t xml:space="preserve">To support Singapore’s value proposition and competitiveness of our financial sector, the </w:t>
            </w:r>
            <w:r>
              <w:t xml:space="preserve">proposed amendment seeks to extend </w:t>
            </w:r>
            <w:r w:rsidRPr="00027F6E">
              <w:t xml:space="preserve">the WHT exemption on payments made to a non-individual, non-resident person (excluding any PE in Singapore) from structured products offered by a financial institution in Singapore for another five years up till 31 December 2026. All other conditions of the WHT exemption remain the same. </w:t>
            </w:r>
          </w:p>
          <w:p w14:paraId="527C9FED" w14:textId="77777777" w:rsidR="00163704" w:rsidRPr="00027F6E" w:rsidRDefault="00163704" w:rsidP="00163704">
            <w:pPr>
              <w:pStyle w:val="Default"/>
              <w:jc w:val="both"/>
            </w:pPr>
            <w:r w:rsidRPr="00027F6E">
              <w:t xml:space="preserve"> </w:t>
            </w:r>
          </w:p>
          <w:p w14:paraId="1210182C" w14:textId="58BCD1B2" w:rsidR="00163704" w:rsidRPr="000974A2" w:rsidRDefault="00163704" w:rsidP="00163704">
            <w:pPr>
              <w:pStyle w:val="wordsection1"/>
              <w:jc w:val="both"/>
              <w:rPr>
                <w:lang w:val="en-US"/>
              </w:rPr>
            </w:pPr>
            <w:r w:rsidRPr="00027F6E">
              <w:t xml:space="preserve">The </w:t>
            </w:r>
            <w:r>
              <w:t>proposed</w:t>
            </w:r>
            <w:r w:rsidRPr="00027F6E">
              <w:t xml:space="preserve"> amendment</w:t>
            </w:r>
            <w:r>
              <w:t>, if approved, will</w:t>
            </w:r>
            <w:r w:rsidRPr="00027F6E" w:rsidDel="00C06229">
              <w:t xml:space="preserve"> </w:t>
            </w:r>
            <w:r w:rsidRPr="00027F6E">
              <w:t>take effect from 1 April 2021.</w:t>
            </w:r>
          </w:p>
        </w:tc>
        <w:tc>
          <w:tcPr>
            <w:tcW w:w="2082" w:type="dxa"/>
          </w:tcPr>
          <w:p w14:paraId="75ADA405" w14:textId="77777777" w:rsidR="00163704" w:rsidRDefault="00163704" w:rsidP="00163704">
            <w:pPr>
              <w:pStyle w:val="wordsection1"/>
              <w:jc w:val="both"/>
              <w:rPr>
                <w:lang w:val="en-US"/>
              </w:rPr>
            </w:pPr>
            <w:r>
              <w:rPr>
                <w:lang w:val="en-US"/>
              </w:rPr>
              <w:t>Section 13</w:t>
            </w:r>
          </w:p>
          <w:p w14:paraId="217A390C" w14:textId="77777777" w:rsidR="00163704" w:rsidRDefault="00163704" w:rsidP="00163704">
            <w:pPr>
              <w:pStyle w:val="wordsection1"/>
              <w:jc w:val="both"/>
              <w:rPr>
                <w:lang w:val="en-US"/>
              </w:rPr>
            </w:pPr>
          </w:p>
          <w:p w14:paraId="0E7C17FE" w14:textId="68EB4FA8" w:rsidR="00163704" w:rsidRDefault="00163704" w:rsidP="00163704">
            <w:pPr>
              <w:pStyle w:val="wordsection1"/>
              <w:jc w:val="both"/>
              <w:rPr>
                <w:lang w:val="en-US"/>
              </w:rPr>
            </w:pPr>
            <w:r>
              <w:rPr>
                <w:lang w:val="en-US"/>
              </w:rPr>
              <w:t>[Clause 4]</w:t>
            </w:r>
          </w:p>
        </w:tc>
      </w:tr>
      <w:tr w:rsidR="00163704" w:rsidRPr="000974A2" w14:paraId="4F2DC6ED" w14:textId="77777777" w:rsidTr="0017256A">
        <w:trPr>
          <w:jc w:val="center"/>
        </w:trPr>
        <w:tc>
          <w:tcPr>
            <w:tcW w:w="846" w:type="dxa"/>
          </w:tcPr>
          <w:p w14:paraId="2E28B891" w14:textId="77777777" w:rsidR="00163704" w:rsidRPr="000974A2" w:rsidRDefault="00163704" w:rsidP="00163704">
            <w:pPr>
              <w:widowControl w:val="0"/>
              <w:numPr>
                <w:ilvl w:val="0"/>
                <w:numId w:val="40"/>
              </w:numPr>
              <w:jc w:val="both"/>
              <w:rPr>
                <w:rFonts w:eastAsia="PMingLiU"/>
                <w:b/>
              </w:rPr>
            </w:pPr>
          </w:p>
        </w:tc>
        <w:tc>
          <w:tcPr>
            <w:tcW w:w="3260" w:type="dxa"/>
          </w:tcPr>
          <w:p w14:paraId="6B3D5476" w14:textId="77777777" w:rsidR="00163704" w:rsidRPr="00027F6E" w:rsidRDefault="00163704" w:rsidP="00163704">
            <w:pPr>
              <w:pStyle w:val="Default"/>
              <w:jc w:val="both"/>
            </w:pPr>
            <w:r w:rsidRPr="00027F6E">
              <w:t xml:space="preserve">Streamline of tax incentive schemes for insurance businesses </w:t>
            </w:r>
          </w:p>
          <w:p w14:paraId="2ADE1F24" w14:textId="77777777" w:rsidR="00163704" w:rsidRPr="000974A2" w:rsidRDefault="00163704" w:rsidP="00163704">
            <w:pPr>
              <w:pStyle w:val="Default"/>
              <w:jc w:val="both"/>
            </w:pPr>
          </w:p>
        </w:tc>
        <w:tc>
          <w:tcPr>
            <w:tcW w:w="6869" w:type="dxa"/>
          </w:tcPr>
          <w:p w14:paraId="265D6DB0" w14:textId="45FEFBFE" w:rsidR="00163704" w:rsidRPr="00027F6E" w:rsidRDefault="00163704" w:rsidP="00163704">
            <w:pPr>
              <w:pStyle w:val="Default"/>
              <w:jc w:val="both"/>
            </w:pPr>
            <w:r w:rsidRPr="00027F6E">
              <w:t xml:space="preserve">To streamline and simplify the Insurance Business Development (“IBD”) umbrella scheme, the </w:t>
            </w:r>
            <w:r>
              <w:t xml:space="preserve">proposed amendment seeks to allow </w:t>
            </w:r>
            <w:r w:rsidRPr="00027F6E">
              <w:t xml:space="preserve">IBD-Specialised Insurance (“IBD-SI”) scheme </w:t>
            </w:r>
            <w:r>
              <w:t>to</w:t>
            </w:r>
            <w:r w:rsidRPr="00027F6E">
              <w:t xml:space="preserve"> lapse after 31 August 2021. </w:t>
            </w:r>
          </w:p>
          <w:p w14:paraId="6945C8F5" w14:textId="77777777" w:rsidR="00163704" w:rsidRPr="00027F6E" w:rsidRDefault="00163704" w:rsidP="00163704">
            <w:pPr>
              <w:pStyle w:val="Default"/>
              <w:jc w:val="both"/>
            </w:pPr>
          </w:p>
          <w:p w14:paraId="353B5EE8" w14:textId="77777777" w:rsidR="00163704" w:rsidRPr="000974A2" w:rsidRDefault="00163704" w:rsidP="00163704">
            <w:pPr>
              <w:pStyle w:val="wordsection1"/>
              <w:jc w:val="both"/>
              <w:rPr>
                <w:lang w:val="en-US"/>
              </w:rPr>
            </w:pPr>
            <w:r w:rsidRPr="00027F6E">
              <w:t xml:space="preserve">With the lapse of the IBD-SI scheme, insurers engaged in the specialised insurance and reinsurance business can apply for the IBD scheme. </w:t>
            </w:r>
          </w:p>
        </w:tc>
        <w:tc>
          <w:tcPr>
            <w:tcW w:w="2082" w:type="dxa"/>
          </w:tcPr>
          <w:p w14:paraId="265BD91E" w14:textId="77777777" w:rsidR="00163704" w:rsidRDefault="00163704" w:rsidP="00163704">
            <w:pPr>
              <w:pStyle w:val="wordsection1"/>
              <w:jc w:val="both"/>
              <w:rPr>
                <w:lang w:val="en-US"/>
              </w:rPr>
            </w:pPr>
            <w:r>
              <w:rPr>
                <w:lang w:val="en-US"/>
              </w:rPr>
              <w:lastRenderedPageBreak/>
              <w:t>Section 43C</w:t>
            </w:r>
          </w:p>
          <w:p w14:paraId="2CA51BC2" w14:textId="77777777" w:rsidR="00163704" w:rsidRDefault="00163704" w:rsidP="00163704">
            <w:pPr>
              <w:pStyle w:val="wordsection1"/>
              <w:jc w:val="both"/>
              <w:rPr>
                <w:lang w:val="en-US"/>
              </w:rPr>
            </w:pPr>
          </w:p>
          <w:p w14:paraId="41B4C671" w14:textId="55269C5F" w:rsidR="00163704" w:rsidRDefault="00163704" w:rsidP="00163704">
            <w:pPr>
              <w:pStyle w:val="wordsection1"/>
              <w:jc w:val="both"/>
              <w:rPr>
                <w:lang w:val="en-US"/>
              </w:rPr>
            </w:pPr>
            <w:r>
              <w:rPr>
                <w:lang w:val="en-US"/>
              </w:rPr>
              <w:t>[Clause 34]</w:t>
            </w:r>
          </w:p>
        </w:tc>
      </w:tr>
      <w:tr w:rsidR="00163704" w:rsidRPr="000974A2" w14:paraId="2ED759A2" w14:textId="77777777" w:rsidTr="0017256A">
        <w:trPr>
          <w:jc w:val="center"/>
        </w:trPr>
        <w:tc>
          <w:tcPr>
            <w:tcW w:w="846" w:type="dxa"/>
          </w:tcPr>
          <w:p w14:paraId="2A353ED3" w14:textId="77777777" w:rsidR="00163704" w:rsidRPr="000974A2" w:rsidRDefault="00163704" w:rsidP="00163704">
            <w:pPr>
              <w:widowControl w:val="0"/>
              <w:numPr>
                <w:ilvl w:val="0"/>
                <w:numId w:val="40"/>
              </w:numPr>
              <w:jc w:val="both"/>
              <w:rPr>
                <w:rFonts w:eastAsia="PMingLiU"/>
                <w:b/>
              </w:rPr>
            </w:pPr>
          </w:p>
        </w:tc>
        <w:tc>
          <w:tcPr>
            <w:tcW w:w="3260" w:type="dxa"/>
          </w:tcPr>
          <w:p w14:paraId="57B7FE7E" w14:textId="77777777" w:rsidR="00163704" w:rsidRPr="000974A2" w:rsidRDefault="00163704" w:rsidP="00163704">
            <w:pPr>
              <w:pStyle w:val="Default"/>
              <w:jc w:val="both"/>
            </w:pPr>
            <w:r w:rsidRPr="00027F6E">
              <w:t xml:space="preserve">Withdraw the Accelerated Depreciation Allowances for Highly Efficient Pollution Control Equipment (“ADA-PCE”) scheme </w:t>
            </w:r>
          </w:p>
        </w:tc>
        <w:tc>
          <w:tcPr>
            <w:tcW w:w="6869" w:type="dxa"/>
          </w:tcPr>
          <w:p w14:paraId="48AAF972" w14:textId="77777777" w:rsidR="00163704" w:rsidRPr="00027F6E" w:rsidRDefault="00163704" w:rsidP="00163704">
            <w:pPr>
              <w:pStyle w:val="Default"/>
              <w:jc w:val="both"/>
            </w:pPr>
            <w:r w:rsidRPr="00027F6E">
              <w:t xml:space="preserve">Since the introduction of this scheme in 1996, regulatory measures have been introduced including our air emission standards, which set emission concentration limits for a list of controlled pollutants. With our periodic review of schemes, the ADA-PCE scheme is assessed to be no longer relevant. </w:t>
            </w:r>
          </w:p>
          <w:p w14:paraId="623063CD" w14:textId="77777777" w:rsidR="00163704" w:rsidRPr="00027F6E" w:rsidRDefault="00163704" w:rsidP="00163704">
            <w:pPr>
              <w:pStyle w:val="Default"/>
              <w:jc w:val="both"/>
            </w:pPr>
          </w:p>
          <w:p w14:paraId="7571A40F" w14:textId="77777777" w:rsidR="00163704" w:rsidRPr="00027F6E" w:rsidRDefault="00163704" w:rsidP="00163704">
            <w:pPr>
              <w:pStyle w:val="Default"/>
              <w:jc w:val="both"/>
            </w:pPr>
            <w:r w:rsidRPr="00027F6E">
              <w:t>The Ministry of Sustainability and the Environment (“MSE”) and the National Environment Agency (“NEA”) will continue to regularly review our measures to manage pollution and improve air quality in Singapore.</w:t>
            </w:r>
          </w:p>
          <w:p w14:paraId="23AFC591" w14:textId="77777777" w:rsidR="00163704" w:rsidRPr="00027F6E" w:rsidRDefault="00163704" w:rsidP="00163704">
            <w:pPr>
              <w:pStyle w:val="Default"/>
              <w:jc w:val="both"/>
            </w:pPr>
          </w:p>
          <w:p w14:paraId="293B17BB" w14:textId="590F4079" w:rsidR="00163704" w:rsidRPr="000974A2" w:rsidRDefault="00163704" w:rsidP="00163704">
            <w:pPr>
              <w:pStyle w:val="wordsection1"/>
              <w:jc w:val="both"/>
              <w:rPr>
                <w:lang w:val="en-US"/>
              </w:rPr>
            </w:pPr>
            <w:r w:rsidRPr="00027F6E">
              <w:t>The</w:t>
            </w:r>
            <w:r>
              <w:t xml:space="preserve"> proposed</w:t>
            </w:r>
            <w:r w:rsidRPr="00027F6E">
              <w:t xml:space="preserve"> amendment</w:t>
            </w:r>
            <w:r>
              <w:t>, if approved, will</w:t>
            </w:r>
            <w:r w:rsidRPr="00027F6E" w:rsidDel="00C06229">
              <w:t xml:space="preserve"> </w:t>
            </w:r>
            <w:r w:rsidRPr="00027F6E">
              <w:t>take effect from 17 February 2021.</w:t>
            </w:r>
          </w:p>
        </w:tc>
        <w:tc>
          <w:tcPr>
            <w:tcW w:w="2082" w:type="dxa"/>
          </w:tcPr>
          <w:p w14:paraId="4549B982" w14:textId="77777777" w:rsidR="00163704" w:rsidRDefault="00163704" w:rsidP="00163704">
            <w:pPr>
              <w:pStyle w:val="wordsection1"/>
              <w:jc w:val="both"/>
              <w:rPr>
                <w:lang w:val="en-US"/>
              </w:rPr>
            </w:pPr>
            <w:r>
              <w:rPr>
                <w:lang w:val="en-US"/>
              </w:rPr>
              <w:t>Section 19A</w:t>
            </w:r>
          </w:p>
          <w:p w14:paraId="385E97A1" w14:textId="77777777" w:rsidR="00163704" w:rsidRDefault="00163704" w:rsidP="00163704">
            <w:pPr>
              <w:pStyle w:val="wordsection1"/>
              <w:jc w:val="both"/>
              <w:rPr>
                <w:lang w:val="en-US"/>
              </w:rPr>
            </w:pPr>
          </w:p>
          <w:p w14:paraId="5B0A226B" w14:textId="1FEBC871" w:rsidR="00163704" w:rsidRDefault="00163704" w:rsidP="00163704">
            <w:pPr>
              <w:pStyle w:val="wordsection1"/>
              <w:jc w:val="both"/>
              <w:rPr>
                <w:lang w:val="en-US"/>
              </w:rPr>
            </w:pPr>
            <w:r>
              <w:rPr>
                <w:lang w:val="en-US"/>
              </w:rPr>
              <w:t>[Clause 19]</w:t>
            </w:r>
          </w:p>
        </w:tc>
      </w:tr>
      <w:tr w:rsidR="00163704" w:rsidRPr="000974A2" w14:paraId="0D32EA84" w14:textId="77777777" w:rsidTr="0017256A">
        <w:trPr>
          <w:jc w:val="center"/>
        </w:trPr>
        <w:tc>
          <w:tcPr>
            <w:tcW w:w="846" w:type="dxa"/>
          </w:tcPr>
          <w:p w14:paraId="169671DF" w14:textId="77777777" w:rsidR="00163704" w:rsidRPr="000974A2" w:rsidRDefault="00163704" w:rsidP="00163704">
            <w:pPr>
              <w:widowControl w:val="0"/>
              <w:numPr>
                <w:ilvl w:val="0"/>
                <w:numId w:val="40"/>
              </w:numPr>
              <w:jc w:val="both"/>
              <w:rPr>
                <w:rFonts w:eastAsia="PMingLiU"/>
                <w:b/>
              </w:rPr>
            </w:pPr>
          </w:p>
        </w:tc>
        <w:tc>
          <w:tcPr>
            <w:tcW w:w="3260" w:type="dxa"/>
          </w:tcPr>
          <w:p w14:paraId="249B3F92" w14:textId="77777777" w:rsidR="00163704" w:rsidRPr="000974A2" w:rsidRDefault="00163704" w:rsidP="00163704">
            <w:pPr>
              <w:pStyle w:val="Default"/>
              <w:jc w:val="both"/>
            </w:pPr>
            <w:r w:rsidRPr="00027F6E">
              <w:t>Extend the Not-for-Profit Organisation (“NPO”) tax incentive</w:t>
            </w:r>
          </w:p>
        </w:tc>
        <w:tc>
          <w:tcPr>
            <w:tcW w:w="6869" w:type="dxa"/>
          </w:tcPr>
          <w:p w14:paraId="72E2896B" w14:textId="3929411E" w:rsidR="00163704" w:rsidRPr="00027F6E" w:rsidRDefault="00163704" w:rsidP="00163704">
            <w:pPr>
              <w:pStyle w:val="Default"/>
              <w:jc w:val="both"/>
            </w:pPr>
            <w:r w:rsidRPr="00027F6E">
              <w:t xml:space="preserve">To continue attracting NPOs to Singapore, the NPO tax incentive </w:t>
            </w:r>
            <w:r w:rsidRPr="00027F6E" w:rsidDel="00AB565B">
              <w:t>will</w:t>
            </w:r>
            <w:r w:rsidRPr="00027F6E">
              <w:t xml:space="preserve"> be extended till 31 December 2027. </w:t>
            </w:r>
          </w:p>
          <w:p w14:paraId="77BED5B7" w14:textId="77777777" w:rsidR="00163704" w:rsidRPr="00027F6E" w:rsidRDefault="00163704" w:rsidP="00163704">
            <w:pPr>
              <w:pStyle w:val="Default"/>
              <w:jc w:val="both"/>
            </w:pPr>
          </w:p>
          <w:p w14:paraId="6F19B375" w14:textId="1DC63981" w:rsidR="00163704" w:rsidRPr="00027F6E" w:rsidRDefault="00163704" w:rsidP="00163704">
            <w:pPr>
              <w:pStyle w:val="Default"/>
              <w:jc w:val="both"/>
            </w:pPr>
            <w:r w:rsidRPr="00027F6E">
              <w:t xml:space="preserve">In addition, any expenses, losses or allowances that are not deducted </w:t>
            </w:r>
            <w:r>
              <w:t>by</w:t>
            </w:r>
            <w:r w:rsidRPr="00027F6E">
              <w:t xml:space="preserve"> </w:t>
            </w:r>
            <w:r>
              <w:t>an</w:t>
            </w:r>
            <w:r w:rsidRPr="00027F6E">
              <w:t xml:space="preserve"> approved NPO </w:t>
            </w:r>
            <w:r>
              <w:t>during the incentive period when its income is tax-exempt,</w:t>
            </w:r>
            <w:r w:rsidRPr="00027F6E">
              <w:t xml:space="preserve"> </w:t>
            </w:r>
            <w:r>
              <w:t>are to</w:t>
            </w:r>
            <w:r w:rsidRPr="00027F6E">
              <w:t xml:space="preserve"> be disregarded in the post-incentive period. </w:t>
            </w:r>
          </w:p>
          <w:p w14:paraId="48067196" w14:textId="77777777" w:rsidR="00163704" w:rsidRPr="00027F6E" w:rsidRDefault="00163704" w:rsidP="00163704">
            <w:pPr>
              <w:pStyle w:val="Default"/>
              <w:jc w:val="both"/>
            </w:pPr>
          </w:p>
          <w:p w14:paraId="3A40587E" w14:textId="77777777" w:rsidR="00163704" w:rsidRPr="000974A2" w:rsidRDefault="00163704" w:rsidP="00163704">
            <w:pPr>
              <w:pStyle w:val="wordsection1"/>
              <w:jc w:val="both"/>
              <w:rPr>
                <w:lang w:val="en-US"/>
              </w:rPr>
            </w:pPr>
            <w:r w:rsidRPr="00027F6E">
              <w:t>All other conditions of the incentive remain the same.</w:t>
            </w:r>
          </w:p>
        </w:tc>
        <w:tc>
          <w:tcPr>
            <w:tcW w:w="2082" w:type="dxa"/>
          </w:tcPr>
          <w:p w14:paraId="33755F6F" w14:textId="77777777" w:rsidR="00163704" w:rsidRDefault="00163704" w:rsidP="00163704">
            <w:pPr>
              <w:pStyle w:val="wordsection1"/>
              <w:jc w:val="both"/>
              <w:rPr>
                <w:lang w:val="en-US"/>
              </w:rPr>
            </w:pPr>
            <w:r>
              <w:rPr>
                <w:lang w:val="en-US"/>
              </w:rPr>
              <w:t>Section 13U</w:t>
            </w:r>
          </w:p>
          <w:p w14:paraId="38DAEAA2" w14:textId="77777777" w:rsidR="00163704" w:rsidRDefault="00163704" w:rsidP="00163704">
            <w:pPr>
              <w:pStyle w:val="wordsection1"/>
              <w:jc w:val="both"/>
              <w:rPr>
                <w:lang w:val="en-US"/>
              </w:rPr>
            </w:pPr>
          </w:p>
          <w:p w14:paraId="518F9ACF" w14:textId="4168235D" w:rsidR="00163704" w:rsidRDefault="00163704" w:rsidP="00163704">
            <w:pPr>
              <w:pStyle w:val="wordsection1"/>
              <w:jc w:val="both"/>
              <w:rPr>
                <w:lang w:val="en-US"/>
              </w:rPr>
            </w:pPr>
            <w:r>
              <w:rPr>
                <w:lang w:val="en-US"/>
              </w:rPr>
              <w:t>[Clause 6]</w:t>
            </w:r>
          </w:p>
        </w:tc>
      </w:tr>
      <w:tr w:rsidR="00163704" w:rsidRPr="000974A2" w14:paraId="740FEA73" w14:textId="77777777" w:rsidTr="0017256A">
        <w:trPr>
          <w:jc w:val="center"/>
        </w:trPr>
        <w:tc>
          <w:tcPr>
            <w:tcW w:w="846" w:type="dxa"/>
          </w:tcPr>
          <w:p w14:paraId="755B9255" w14:textId="77777777" w:rsidR="00163704" w:rsidRPr="000974A2" w:rsidRDefault="00163704" w:rsidP="00163704">
            <w:pPr>
              <w:widowControl w:val="0"/>
              <w:numPr>
                <w:ilvl w:val="0"/>
                <w:numId w:val="40"/>
              </w:numPr>
              <w:jc w:val="both"/>
              <w:rPr>
                <w:rFonts w:eastAsia="PMingLiU"/>
                <w:b/>
              </w:rPr>
            </w:pPr>
          </w:p>
        </w:tc>
        <w:tc>
          <w:tcPr>
            <w:tcW w:w="3260" w:type="dxa"/>
          </w:tcPr>
          <w:p w14:paraId="5509B28D" w14:textId="77777777" w:rsidR="00163704" w:rsidRPr="000974A2" w:rsidRDefault="00163704" w:rsidP="00163704">
            <w:pPr>
              <w:pStyle w:val="Default"/>
              <w:jc w:val="both"/>
            </w:pPr>
            <w:r w:rsidRPr="00027F6E">
              <w:t>Extend the Business and IPC Partnership Scheme (“BIPS”)</w:t>
            </w:r>
          </w:p>
        </w:tc>
        <w:tc>
          <w:tcPr>
            <w:tcW w:w="6869" w:type="dxa"/>
          </w:tcPr>
          <w:p w14:paraId="7013A5CF" w14:textId="3828EF72" w:rsidR="00163704" w:rsidRPr="00027F6E" w:rsidRDefault="00163704" w:rsidP="00163704">
            <w:pPr>
              <w:pStyle w:val="Default"/>
              <w:jc w:val="both"/>
            </w:pPr>
            <w:r w:rsidRPr="00027F6E">
              <w:t xml:space="preserve">To continue supporting corporate volunteering, the 250% tax deduction on qualifying expenditure incurred by businesses when their staff provide services to IPCs, or are seconded to IPCs under BIPS, </w:t>
            </w:r>
            <w:r w:rsidRPr="00027F6E" w:rsidDel="00AB565B">
              <w:t>will</w:t>
            </w:r>
            <w:r w:rsidRPr="00027F6E">
              <w:t xml:space="preserve"> be extended for another two years, i.e. for qualifying expenditure incurred during the period 1 January 2022 to 31 December 2023 (both dates inclusive). </w:t>
            </w:r>
          </w:p>
          <w:p w14:paraId="3CCCE731" w14:textId="77777777" w:rsidR="00163704" w:rsidRPr="00027F6E" w:rsidRDefault="00163704" w:rsidP="00163704">
            <w:pPr>
              <w:pStyle w:val="Default"/>
              <w:jc w:val="both"/>
            </w:pPr>
          </w:p>
          <w:p w14:paraId="1BCE1958" w14:textId="77777777" w:rsidR="00163704" w:rsidRPr="000974A2" w:rsidRDefault="00163704" w:rsidP="00163704">
            <w:pPr>
              <w:pStyle w:val="wordsection1"/>
              <w:jc w:val="both"/>
              <w:rPr>
                <w:lang w:val="en-US"/>
              </w:rPr>
            </w:pPr>
            <w:r w:rsidRPr="00027F6E">
              <w:t xml:space="preserve">All other conditions of the scheme remain the same. </w:t>
            </w:r>
          </w:p>
        </w:tc>
        <w:tc>
          <w:tcPr>
            <w:tcW w:w="2082" w:type="dxa"/>
          </w:tcPr>
          <w:p w14:paraId="532190CF" w14:textId="77777777" w:rsidR="00163704" w:rsidRDefault="00163704" w:rsidP="00163704">
            <w:pPr>
              <w:pStyle w:val="wordsection1"/>
              <w:jc w:val="both"/>
              <w:rPr>
                <w:lang w:val="en-US"/>
              </w:rPr>
            </w:pPr>
            <w:r>
              <w:rPr>
                <w:lang w:val="en-US"/>
              </w:rPr>
              <w:t>Section 14ZB</w:t>
            </w:r>
          </w:p>
          <w:p w14:paraId="49BD2FDD" w14:textId="77777777" w:rsidR="00163704" w:rsidRDefault="00163704" w:rsidP="00163704">
            <w:pPr>
              <w:pStyle w:val="wordsection1"/>
              <w:jc w:val="both"/>
              <w:rPr>
                <w:lang w:val="en-US"/>
              </w:rPr>
            </w:pPr>
          </w:p>
          <w:p w14:paraId="4CAF16F1" w14:textId="79E202E1" w:rsidR="00163704" w:rsidRDefault="00163704" w:rsidP="00163704">
            <w:pPr>
              <w:pStyle w:val="wordsection1"/>
              <w:jc w:val="both"/>
              <w:rPr>
                <w:lang w:val="en-US"/>
              </w:rPr>
            </w:pPr>
            <w:r>
              <w:rPr>
                <w:lang w:val="en-US"/>
              </w:rPr>
              <w:t>[Clause 14]</w:t>
            </w:r>
          </w:p>
        </w:tc>
      </w:tr>
    </w:tbl>
    <w:p w14:paraId="21A221E2" w14:textId="77777777" w:rsidR="00A765F2" w:rsidRPr="00A723F3" w:rsidRDefault="00A765F2" w:rsidP="00DB1164">
      <w:pPr>
        <w:rPr>
          <w:b/>
        </w:rPr>
      </w:pPr>
    </w:p>
    <w:sectPr w:rsidR="00A765F2" w:rsidRPr="00A723F3" w:rsidSect="00860C1A">
      <w:footerReference w:type="even" r:id="rId12"/>
      <w:footerReference w:type="default" r:id="rId13"/>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CA179" w14:textId="77777777" w:rsidR="00FA5620" w:rsidRDefault="00FA5620">
      <w:r>
        <w:separator/>
      </w:r>
    </w:p>
  </w:endnote>
  <w:endnote w:type="continuationSeparator" w:id="0">
    <w:p w14:paraId="06998DF2" w14:textId="77777777" w:rsidR="00FA5620" w:rsidRDefault="00FA5620">
      <w:r>
        <w:continuationSeparator/>
      </w:r>
    </w:p>
  </w:endnote>
  <w:endnote w:type="continuationNotice" w:id="1">
    <w:p w14:paraId="020F7D49" w14:textId="77777777" w:rsidR="00FA5620" w:rsidRDefault="00FA5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68F4" w14:textId="77777777" w:rsidR="00F13D99" w:rsidRDefault="00F13D99" w:rsidP="00BA73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DC0D77" w14:textId="77777777" w:rsidR="00F13D99" w:rsidRDefault="00F13D99" w:rsidP="00BA73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8056"/>
      <w:docPartObj>
        <w:docPartGallery w:val="Page Numbers (Bottom of Page)"/>
        <w:docPartUnique/>
      </w:docPartObj>
    </w:sdtPr>
    <w:sdtEndPr/>
    <w:sdtContent>
      <w:p w14:paraId="73E1A875" w14:textId="77777777" w:rsidR="00F13D99" w:rsidRDefault="00F13D99">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33088BE9" w14:textId="77777777" w:rsidR="00F13D99" w:rsidRDefault="00F13D99" w:rsidP="00BA73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35525" w14:textId="77777777" w:rsidR="00FA5620" w:rsidRDefault="00FA5620">
      <w:r>
        <w:separator/>
      </w:r>
    </w:p>
  </w:footnote>
  <w:footnote w:type="continuationSeparator" w:id="0">
    <w:p w14:paraId="15CE6234" w14:textId="77777777" w:rsidR="00FA5620" w:rsidRDefault="00FA5620">
      <w:r>
        <w:continuationSeparator/>
      </w:r>
    </w:p>
  </w:footnote>
  <w:footnote w:type="continuationNotice" w:id="1">
    <w:p w14:paraId="1BDB8F53" w14:textId="77777777" w:rsidR="00FA5620" w:rsidRDefault="00FA5620"/>
  </w:footnote>
  <w:footnote w:id="2">
    <w:p w14:paraId="00C1BE0F" w14:textId="77777777" w:rsidR="00163704" w:rsidRPr="001D5ED9" w:rsidRDefault="00163704" w:rsidP="007B3476">
      <w:pPr>
        <w:pStyle w:val="FootnoteText"/>
        <w:rPr>
          <w:lang w:val="en-US"/>
        </w:rPr>
      </w:pPr>
      <w:r>
        <w:rPr>
          <w:rStyle w:val="FootnoteReference"/>
        </w:rPr>
        <w:footnoteRef/>
      </w:r>
      <w:r>
        <w:t xml:space="preserve"> </w:t>
      </w:r>
      <w:r>
        <w:rPr>
          <w:lang w:val="en-US"/>
        </w:rPr>
        <w:t>The virtual trade fair needs to be an event approved by Enterprise Singapore.</w:t>
      </w:r>
    </w:p>
  </w:footnote>
  <w:footnote w:id="3">
    <w:p w14:paraId="23A4F5EE" w14:textId="77777777" w:rsidR="00163704" w:rsidRDefault="00163704" w:rsidP="007B3476">
      <w:pPr>
        <w:pStyle w:val="FootnoteText"/>
      </w:pPr>
      <w:r>
        <w:rPr>
          <w:rStyle w:val="FootnoteReference"/>
        </w:rPr>
        <w:footnoteRef/>
      </w:r>
      <w:r>
        <w:t xml:space="preserve"> The following conditions need to be met:</w:t>
      </w:r>
    </w:p>
    <w:p w14:paraId="0A7B72F3" w14:textId="77777777" w:rsidR="00163704" w:rsidRDefault="00163704" w:rsidP="007B3476">
      <w:pPr>
        <w:pStyle w:val="FootnoteText"/>
      </w:pPr>
      <w:r>
        <w:t>(</w:t>
      </w:r>
      <w:proofErr w:type="spellStart"/>
      <w:r>
        <w:t>i</w:t>
      </w:r>
      <w:proofErr w:type="spellEnd"/>
      <w:r>
        <w:t xml:space="preserve">) Both the business claiming tax deduction under the </w:t>
      </w:r>
      <w:proofErr w:type="spellStart"/>
      <w:r>
        <w:t>DTDi</w:t>
      </w:r>
      <w:proofErr w:type="spellEnd"/>
      <w:r>
        <w:t xml:space="preserve"> scheme and the recipient of the materials/samples have attended the approved virtual trade fair; and</w:t>
      </w:r>
    </w:p>
    <w:p w14:paraId="3CF577D5" w14:textId="77777777" w:rsidR="00163704" w:rsidRPr="00CD04C9" w:rsidRDefault="00163704" w:rsidP="007B3476">
      <w:pPr>
        <w:pStyle w:val="FootnoteText"/>
      </w:pPr>
      <w:r>
        <w:t>(ii) Materials/samples are sent within six months from the end of the approved virtual fair.</w:t>
      </w:r>
    </w:p>
  </w:footnote>
  <w:footnote w:id="4">
    <w:p w14:paraId="3002F445" w14:textId="5F25BD75" w:rsidR="00163704" w:rsidRPr="00761CA6" w:rsidRDefault="00163704" w:rsidP="007B3476">
      <w:pPr>
        <w:pStyle w:val="FootnoteText"/>
      </w:pPr>
      <w:r>
        <w:rPr>
          <w:rStyle w:val="FootnoteReference"/>
        </w:rPr>
        <w:footnoteRef/>
      </w:r>
      <w:r>
        <w:t xml:space="preserve"> Rated by credit rating agencies namely Standard &amp; Poor (S&amp;P) Global, Moody’s, or Fitch Ratings.  </w:t>
      </w:r>
    </w:p>
  </w:footnote>
  <w:footnote w:id="5">
    <w:p w14:paraId="7C61BA9A" w14:textId="77777777" w:rsidR="00163704" w:rsidRPr="00761CA6" w:rsidRDefault="00163704" w:rsidP="007B3476">
      <w:pPr>
        <w:pStyle w:val="FootnoteText"/>
      </w:pPr>
      <w:r>
        <w:rPr>
          <w:rStyle w:val="FootnoteReference"/>
        </w:rPr>
        <w:footnoteRef/>
      </w:r>
      <w:r>
        <w:t xml:space="preserve"> Issuers’ wholesale bonds offered in denominations of at least $200,000 can be re-sized into smaller denominations after six months for retail investors’ secondary trading on SGX. Issuers can also make additional offers of new bonds (“re-tap”) up to 50% of the initial wholesale offer size to retail investors based on the Seasoned Bonds’ terms.  </w:t>
      </w:r>
    </w:p>
  </w:footnote>
  <w:footnote w:id="6">
    <w:p w14:paraId="4C40A759" w14:textId="77777777" w:rsidR="00163704" w:rsidRPr="00761CA6" w:rsidRDefault="00163704" w:rsidP="007B3476">
      <w:pPr>
        <w:pStyle w:val="FootnoteText"/>
      </w:pPr>
      <w:r>
        <w:rPr>
          <w:rStyle w:val="FootnoteReference"/>
        </w:rPr>
        <w:footnoteRef/>
      </w:r>
      <w:r>
        <w:t xml:space="preserve"> New retail bond issuances by issuers who meet a more stringent credit test under the Exempt Bond Issuer Framework will be exempted from prospectus requirements.  </w:t>
      </w:r>
    </w:p>
  </w:footnote>
  <w:footnote w:id="7">
    <w:p w14:paraId="6760CF7B" w14:textId="77777777" w:rsidR="00163704" w:rsidRPr="00D77A04" w:rsidRDefault="00163704" w:rsidP="007B3476">
      <w:pPr>
        <w:pStyle w:val="Default"/>
        <w:rPr>
          <w:rFonts w:eastAsia="Times New Roman"/>
          <w:sz w:val="20"/>
          <w:szCs w:val="20"/>
          <w:lang w:val="en-SG"/>
        </w:rPr>
      </w:pPr>
      <w:r w:rsidRPr="00D77A04">
        <w:rPr>
          <w:rStyle w:val="FootnoteReference"/>
          <w:sz w:val="20"/>
          <w:szCs w:val="20"/>
        </w:rPr>
        <w:footnoteRef/>
      </w:r>
      <w:r w:rsidRPr="00D77A04">
        <w:rPr>
          <w:sz w:val="20"/>
          <w:szCs w:val="20"/>
        </w:rPr>
        <w:t xml:space="preserve"> </w:t>
      </w:r>
      <w:r w:rsidRPr="00D77A04">
        <w:rPr>
          <w:rFonts w:eastAsia="Times New Roman"/>
          <w:sz w:val="20"/>
          <w:szCs w:val="20"/>
          <w:lang w:val="en-SG"/>
        </w:rPr>
        <w:t xml:space="preserve">Specified entities are: </w:t>
      </w:r>
    </w:p>
    <w:p w14:paraId="08048CD6" w14:textId="77777777" w:rsidR="00163704" w:rsidRPr="009C77BD" w:rsidRDefault="00163704" w:rsidP="00CF2685">
      <w:pPr>
        <w:autoSpaceDE w:val="0"/>
        <w:autoSpaceDN w:val="0"/>
        <w:adjustRightInd w:val="0"/>
        <w:spacing w:after="16"/>
        <w:jc w:val="both"/>
        <w:rPr>
          <w:color w:val="000000"/>
          <w:sz w:val="20"/>
          <w:lang w:val="en-SG" w:eastAsia="zh-CN"/>
        </w:rPr>
      </w:pPr>
      <w:r w:rsidRPr="009C77BD">
        <w:rPr>
          <w:color w:val="000000"/>
          <w:sz w:val="20"/>
          <w:lang w:val="en-SG" w:eastAsia="zh-CN"/>
        </w:rPr>
        <w:t>(</w:t>
      </w:r>
      <w:proofErr w:type="spellStart"/>
      <w:r w:rsidRPr="009C77BD">
        <w:rPr>
          <w:color w:val="000000"/>
          <w:sz w:val="20"/>
          <w:lang w:val="en-SG" w:eastAsia="zh-CN"/>
        </w:rPr>
        <w:t>i</w:t>
      </w:r>
      <w:proofErr w:type="spellEnd"/>
      <w:r w:rsidRPr="009C77BD">
        <w:rPr>
          <w:color w:val="000000"/>
          <w:sz w:val="20"/>
          <w:lang w:val="en-SG" w:eastAsia="zh-CN"/>
        </w:rPr>
        <w:t xml:space="preserve">) Banks licensed under the Banking Act or merchant banks approved under the MAS Act. </w:t>
      </w:r>
    </w:p>
    <w:p w14:paraId="319B977A" w14:textId="3630BA0B" w:rsidR="00163704" w:rsidRPr="009C77BD" w:rsidRDefault="00163704" w:rsidP="00CF2685">
      <w:pPr>
        <w:autoSpaceDE w:val="0"/>
        <w:autoSpaceDN w:val="0"/>
        <w:adjustRightInd w:val="0"/>
        <w:spacing w:after="16"/>
        <w:jc w:val="both"/>
        <w:rPr>
          <w:color w:val="000000"/>
          <w:sz w:val="20"/>
          <w:lang w:val="en-SG" w:eastAsia="zh-CN"/>
        </w:rPr>
      </w:pPr>
      <w:r w:rsidRPr="009C77BD">
        <w:rPr>
          <w:color w:val="000000"/>
          <w:sz w:val="20"/>
          <w:lang w:val="en-SG" w:eastAsia="zh-CN"/>
        </w:rPr>
        <w:t>(ii) Finance companies licensed under the Finance Companies Act</w:t>
      </w:r>
      <w:r w:rsidR="00BC7A51">
        <w:rPr>
          <w:color w:val="000000"/>
          <w:sz w:val="20"/>
          <w:lang w:val="en-SG" w:eastAsia="zh-CN"/>
        </w:rPr>
        <w:t>.</w:t>
      </w:r>
      <w:r w:rsidRPr="009C77BD">
        <w:rPr>
          <w:color w:val="000000"/>
          <w:sz w:val="20"/>
          <w:lang w:val="en-SG" w:eastAsia="zh-CN"/>
        </w:rPr>
        <w:t xml:space="preserve"> </w:t>
      </w:r>
    </w:p>
    <w:p w14:paraId="1012B40F" w14:textId="3ABDC89E" w:rsidR="00163704" w:rsidRPr="00BC7A51" w:rsidRDefault="00163704" w:rsidP="00BC7A51">
      <w:pPr>
        <w:autoSpaceDE w:val="0"/>
        <w:autoSpaceDN w:val="0"/>
        <w:adjustRightInd w:val="0"/>
        <w:jc w:val="both"/>
        <w:rPr>
          <w:color w:val="000000"/>
          <w:sz w:val="20"/>
          <w:lang w:val="en-SG" w:eastAsia="zh-CN"/>
        </w:rPr>
      </w:pPr>
      <w:r w:rsidRPr="009C77BD">
        <w:rPr>
          <w:color w:val="000000"/>
          <w:sz w:val="20"/>
          <w:lang w:val="en-SG" w:eastAsia="zh-CN"/>
        </w:rPr>
        <w:t>(iii) Approved entities that are (a) licensed under the Securities and Futures Act for dealing in capital markets products and advising on corporate finance; (b) involved or will be involved in the underwriting of debt or equity issuances; and (c) approved by MAS for the purpose of the exemption</w:t>
      </w:r>
      <w:r w:rsidR="00BC7A51">
        <w:rPr>
          <w:color w:val="000000"/>
          <w:sz w:val="20"/>
          <w:lang w:val="en-SG" w:eastAsia="zh-CN"/>
        </w:rPr>
        <w:t>.</w:t>
      </w:r>
      <w:r w:rsidRPr="009C77BD">
        <w:rPr>
          <w:color w:val="000000"/>
          <w:sz w:val="20"/>
          <w:lang w:val="en-SG" w:eastAsia="zh-CN"/>
        </w:rPr>
        <w:t xml:space="preserve"> </w:t>
      </w:r>
    </w:p>
  </w:footnote>
  <w:footnote w:id="8">
    <w:p w14:paraId="38926756" w14:textId="77777777" w:rsidR="00163704" w:rsidRPr="009C77BD" w:rsidRDefault="00163704">
      <w:pPr>
        <w:pStyle w:val="FootnoteText"/>
        <w:rPr>
          <w:lang w:val="en-US"/>
        </w:rPr>
      </w:pPr>
      <w:r>
        <w:rPr>
          <w:rStyle w:val="FootnoteReference"/>
        </w:rPr>
        <w:footnoteRef/>
      </w:r>
      <w:r>
        <w:t xml:space="preserve"> This refers to interest payments </w:t>
      </w:r>
      <w:proofErr w:type="gramStart"/>
      <w:r>
        <w:t xml:space="preserve">and </w:t>
      </w:r>
      <w:r w:rsidRPr="00B03DF3">
        <w:t>also</w:t>
      </w:r>
      <w:proofErr w:type="gramEnd"/>
      <w:r w:rsidRPr="00B03DF3">
        <w:t xml:space="preserve"> other payments in connection with any loan or indebtedness, which are covered under Section 12(6) of the ITA. </w:t>
      </w:r>
    </w:p>
  </w:footnote>
  <w:footnote w:id="9">
    <w:p w14:paraId="63931772" w14:textId="77777777" w:rsidR="00163704" w:rsidRPr="00A2206B" w:rsidRDefault="00163704">
      <w:pPr>
        <w:pStyle w:val="FootnoteText"/>
        <w:rPr>
          <w:lang w:val="en-US"/>
        </w:rPr>
      </w:pPr>
      <w:r>
        <w:rPr>
          <w:rStyle w:val="FootnoteReference"/>
        </w:rPr>
        <w:footnoteRef/>
      </w:r>
      <w:r>
        <w:t xml:space="preserve"> </w:t>
      </w:r>
      <w:r>
        <w:rPr>
          <w:lang w:val="en-US"/>
        </w:rPr>
        <w:t xml:space="preserve">As a PE is not </w:t>
      </w:r>
      <w:r w:rsidRPr="00A2206B">
        <w:rPr>
          <w:lang w:val="en-US"/>
        </w:rPr>
        <w:t xml:space="preserve">“a person” </w:t>
      </w:r>
      <w:r>
        <w:rPr>
          <w:lang w:val="en-US"/>
        </w:rPr>
        <w:t xml:space="preserve">in </w:t>
      </w:r>
      <w:r w:rsidRPr="00A2206B">
        <w:rPr>
          <w:lang w:val="en-US"/>
        </w:rPr>
        <w:t>itself</w:t>
      </w:r>
      <w:r>
        <w:rPr>
          <w:lang w:val="en-US"/>
        </w:rPr>
        <w:t xml:space="preserve">, but is instead </w:t>
      </w:r>
      <w:r w:rsidRPr="00A2206B">
        <w:rPr>
          <w:lang w:val="en-US"/>
        </w:rPr>
        <w:t xml:space="preserve">a fixed place where a business is carried on </w:t>
      </w:r>
      <w:r>
        <w:rPr>
          <w:lang w:val="en-US"/>
        </w:rPr>
        <w:t xml:space="preserve">(as defined </w:t>
      </w:r>
      <w:r w:rsidRPr="00A2206B">
        <w:rPr>
          <w:lang w:val="en-US"/>
        </w:rPr>
        <w:t xml:space="preserve">under </w:t>
      </w:r>
      <w:r>
        <w:rPr>
          <w:lang w:val="en-US"/>
        </w:rPr>
        <w:t>S</w:t>
      </w:r>
      <w:r w:rsidRPr="00A2206B">
        <w:rPr>
          <w:lang w:val="en-US"/>
        </w:rPr>
        <w:t>ection 2 of the ITA</w:t>
      </w:r>
      <w:r>
        <w:rPr>
          <w:lang w:val="en-US"/>
        </w:rPr>
        <w:t xml:space="preserve">), it is the </w:t>
      </w:r>
      <w:r w:rsidRPr="00A2206B">
        <w:rPr>
          <w:lang w:val="en-US"/>
        </w:rPr>
        <w:t>non-resident person with a PE in Singapore</w:t>
      </w:r>
      <w:r>
        <w:rPr>
          <w:lang w:val="en-US"/>
        </w:rPr>
        <w:t xml:space="preserve"> which will file the income tax return.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CE2571"/>
    <w:multiLevelType w:val="hybridMultilevel"/>
    <w:tmpl w:val="BFD6350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85277D"/>
    <w:multiLevelType w:val="hybridMultilevel"/>
    <w:tmpl w:val="6F4406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45D67"/>
    <w:multiLevelType w:val="hybridMultilevel"/>
    <w:tmpl w:val="07F20CFE"/>
    <w:lvl w:ilvl="0" w:tplc="28A6EE4E">
      <w:start w:val="1"/>
      <w:numFmt w:val="decimal"/>
      <w:lvlText w:val="%1"/>
      <w:lvlJc w:val="righ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2312DC1"/>
    <w:multiLevelType w:val="hybridMultilevel"/>
    <w:tmpl w:val="E6A8742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5914537"/>
    <w:multiLevelType w:val="multilevel"/>
    <w:tmpl w:val="2D02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C546A"/>
    <w:multiLevelType w:val="hybridMultilevel"/>
    <w:tmpl w:val="F1D2B654"/>
    <w:lvl w:ilvl="0" w:tplc="4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9F7F56"/>
    <w:multiLevelType w:val="hybridMultilevel"/>
    <w:tmpl w:val="971801CC"/>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D5F309D"/>
    <w:multiLevelType w:val="hybridMultilevel"/>
    <w:tmpl w:val="2D381544"/>
    <w:lvl w:ilvl="0" w:tplc="48090017">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8" w15:restartNumberingAfterBreak="0">
    <w:nsid w:val="0D9D02BA"/>
    <w:multiLevelType w:val="hybridMultilevel"/>
    <w:tmpl w:val="159C522E"/>
    <w:lvl w:ilvl="0" w:tplc="9E80FDFE">
      <w:start w:val="1"/>
      <w:numFmt w:val="lowerLetter"/>
      <w:lvlText w:val="(%1)"/>
      <w:lvlJc w:val="left"/>
      <w:pPr>
        <w:ind w:left="720" w:hanging="360"/>
      </w:pPr>
      <w:rPr>
        <w:rFonts w:hint="default"/>
        <w:b w:val="0"/>
      </w:rPr>
    </w:lvl>
    <w:lvl w:ilvl="1" w:tplc="0C207D28">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F510D2"/>
    <w:multiLevelType w:val="hybridMultilevel"/>
    <w:tmpl w:val="AA9A54CE"/>
    <w:lvl w:ilvl="0" w:tplc="CF66FAC2">
      <w:start w:val="1"/>
      <w:numFmt w:val="lowerRoman"/>
      <w:suff w:val="space"/>
      <w:lvlText w:val="%1."/>
      <w:lvlJc w:val="right"/>
      <w:pPr>
        <w:ind w:left="397" w:hanging="37"/>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31E1F6E"/>
    <w:multiLevelType w:val="hybridMultilevel"/>
    <w:tmpl w:val="159C522E"/>
    <w:lvl w:ilvl="0" w:tplc="9E80FDFE">
      <w:start w:val="1"/>
      <w:numFmt w:val="lowerLetter"/>
      <w:lvlText w:val="(%1)"/>
      <w:lvlJc w:val="left"/>
      <w:pPr>
        <w:ind w:left="720" w:hanging="360"/>
      </w:pPr>
      <w:rPr>
        <w:rFonts w:hint="default"/>
        <w:b w:val="0"/>
      </w:rPr>
    </w:lvl>
    <w:lvl w:ilvl="1" w:tplc="0C207D28">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757E8B"/>
    <w:multiLevelType w:val="multilevel"/>
    <w:tmpl w:val="75D4B268"/>
    <w:lvl w:ilvl="0">
      <w:start w:val="1"/>
      <w:numFmt w:val="lowerRoman"/>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DB548E"/>
    <w:multiLevelType w:val="multilevel"/>
    <w:tmpl w:val="45DC9DAE"/>
    <w:lvl w:ilvl="0">
      <w:start w:val="1"/>
      <w:numFmt w:val="lowerRoman"/>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8E7780"/>
    <w:multiLevelType w:val="multilevel"/>
    <w:tmpl w:val="7E1EE4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485A09"/>
    <w:multiLevelType w:val="multilevel"/>
    <w:tmpl w:val="A428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A4279"/>
    <w:multiLevelType w:val="hybridMultilevel"/>
    <w:tmpl w:val="AA9A54CE"/>
    <w:lvl w:ilvl="0" w:tplc="CF66FAC2">
      <w:start w:val="1"/>
      <w:numFmt w:val="lowerRoman"/>
      <w:suff w:val="space"/>
      <w:lvlText w:val="%1."/>
      <w:lvlJc w:val="right"/>
      <w:pPr>
        <w:ind w:left="397" w:hanging="37"/>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29D91A23"/>
    <w:multiLevelType w:val="hybridMultilevel"/>
    <w:tmpl w:val="C30C38D8"/>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31BF196B"/>
    <w:multiLevelType w:val="hybridMultilevel"/>
    <w:tmpl w:val="41BC46BC"/>
    <w:lvl w:ilvl="0" w:tplc="C4C8AF50">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31F25ED3"/>
    <w:multiLevelType w:val="hybridMultilevel"/>
    <w:tmpl w:val="FE28EA74"/>
    <w:lvl w:ilvl="0" w:tplc="2B5A85CC">
      <w:start w:val="1"/>
      <w:numFmt w:val="lowerLetter"/>
      <w:lvlText w:val="%1)"/>
      <w:lvlJc w:val="left"/>
      <w:pPr>
        <w:ind w:left="1080" w:hanging="720"/>
      </w:pPr>
      <w:rPr>
        <w:b w:val="0"/>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9" w15:restartNumberingAfterBreak="0">
    <w:nsid w:val="3A1031E1"/>
    <w:multiLevelType w:val="multilevel"/>
    <w:tmpl w:val="880477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34C1030"/>
    <w:multiLevelType w:val="hybridMultilevel"/>
    <w:tmpl w:val="F258D0F0"/>
    <w:lvl w:ilvl="0" w:tplc="CFB273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43025A6"/>
    <w:multiLevelType w:val="hybridMultilevel"/>
    <w:tmpl w:val="57DC0E72"/>
    <w:lvl w:ilvl="0" w:tplc="48090017">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2" w15:restartNumberingAfterBreak="0">
    <w:nsid w:val="444853BF"/>
    <w:multiLevelType w:val="hybridMultilevel"/>
    <w:tmpl w:val="27CC2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65D3341"/>
    <w:multiLevelType w:val="hybridMultilevel"/>
    <w:tmpl w:val="D292CA84"/>
    <w:lvl w:ilvl="0" w:tplc="B0E6D2EC">
      <w:start w:val="1"/>
      <w:numFmt w:val="lowerLetter"/>
      <w:lvlText w:val="%1)"/>
      <w:lvlJc w:val="left"/>
      <w:pPr>
        <w:ind w:left="360" w:hanging="360"/>
      </w:pPr>
      <w:rPr>
        <w:rFonts w:hint="default"/>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4" w15:restartNumberingAfterBreak="0">
    <w:nsid w:val="49E64615"/>
    <w:multiLevelType w:val="hybridMultilevel"/>
    <w:tmpl w:val="A7248460"/>
    <w:lvl w:ilvl="0" w:tplc="0BC61A70">
      <w:start w:val="1"/>
      <w:numFmt w:val="lowerLetter"/>
      <w:lvlText w:val="%1)"/>
      <w:lvlJc w:val="left"/>
      <w:pPr>
        <w:ind w:left="1569"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5" w15:restartNumberingAfterBreak="0">
    <w:nsid w:val="4BD62218"/>
    <w:multiLevelType w:val="hybridMultilevel"/>
    <w:tmpl w:val="AA9A54CE"/>
    <w:lvl w:ilvl="0" w:tplc="CF66FAC2">
      <w:start w:val="1"/>
      <w:numFmt w:val="lowerRoman"/>
      <w:suff w:val="space"/>
      <w:lvlText w:val="%1."/>
      <w:lvlJc w:val="right"/>
      <w:pPr>
        <w:ind w:left="397" w:hanging="37"/>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52B10DD8"/>
    <w:multiLevelType w:val="hybridMultilevel"/>
    <w:tmpl w:val="D292CA84"/>
    <w:lvl w:ilvl="0" w:tplc="B0E6D2EC">
      <w:start w:val="1"/>
      <w:numFmt w:val="lowerLetter"/>
      <w:lvlText w:val="%1)"/>
      <w:lvlJc w:val="left"/>
      <w:pPr>
        <w:ind w:left="360" w:hanging="360"/>
      </w:pPr>
      <w:rPr>
        <w:rFonts w:hint="default"/>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7" w15:restartNumberingAfterBreak="0">
    <w:nsid w:val="59C82634"/>
    <w:multiLevelType w:val="hybridMultilevel"/>
    <w:tmpl w:val="F1D2B654"/>
    <w:lvl w:ilvl="0" w:tplc="4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50379FB"/>
    <w:multiLevelType w:val="hybridMultilevel"/>
    <w:tmpl w:val="E256A25A"/>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650D7545"/>
    <w:multiLevelType w:val="multilevel"/>
    <w:tmpl w:val="65A25E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66D41E8"/>
    <w:multiLevelType w:val="multilevel"/>
    <w:tmpl w:val="9A1230C8"/>
    <w:lvl w:ilvl="0">
      <w:start w:val="2"/>
      <w:numFmt w:val="decimal"/>
      <w:pStyle w:val="cTextList1"/>
      <w:lvlText w:val="%1."/>
      <w:lvlJc w:val="left"/>
      <w:pPr>
        <w:ind w:left="720" w:hanging="720"/>
      </w:pPr>
      <w:rPr>
        <w:rFonts w:ascii="Calibri" w:hAnsi="Calibri" w:cs="Calibri" w:hint="default"/>
        <w:b w:val="0"/>
        <w:strike w:val="0"/>
        <w:dstrike w:val="0"/>
        <w:sz w:val="22"/>
        <w:szCs w:val="24"/>
        <w:u w:val="none"/>
        <w:effect w:val="none"/>
      </w:rPr>
    </w:lvl>
    <w:lvl w:ilvl="1">
      <w:start w:val="1"/>
      <w:numFmt w:val="lowerLetter"/>
      <w:lvlText w:val="%2."/>
      <w:lvlJc w:val="left"/>
      <w:pPr>
        <w:ind w:left="1430" w:hanging="720"/>
      </w:pPr>
    </w:lvl>
    <w:lvl w:ilvl="2">
      <w:start w:val="1"/>
      <w:numFmt w:val="lowerRoman"/>
      <w:lvlText w:val="%3."/>
      <w:lvlJc w:val="left"/>
      <w:pPr>
        <w:ind w:left="2126" w:hanging="720"/>
      </w:pPr>
    </w:lvl>
    <w:lvl w:ilvl="3">
      <w:start w:val="1"/>
      <w:numFmt w:val="decimal"/>
      <w:lvlText w:val="%4."/>
      <w:lvlJc w:val="left"/>
      <w:pPr>
        <w:ind w:left="2829" w:hanging="720"/>
      </w:pPr>
    </w:lvl>
    <w:lvl w:ilvl="4">
      <w:start w:val="1"/>
      <w:numFmt w:val="lowerLetter"/>
      <w:lvlText w:val="%5."/>
      <w:lvlJc w:val="left"/>
      <w:pPr>
        <w:ind w:left="3532" w:hanging="720"/>
      </w:pPr>
    </w:lvl>
    <w:lvl w:ilvl="5">
      <w:start w:val="1"/>
      <w:numFmt w:val="lowerRoman"/>
      <w:lvlText w:val="%6."/>
      <w:lvlJc w:val="right"/>
      <w:pPr>
        <w:ind w:left="4235" w:hanging="720"/>
      </w:pPr>
    </w:lvl>
    <w:lvl w:ilvl="6">
      <w:start w:val="1"/>
      <w:numFmt w:val="decimal"/>
      <w:lvlText w:val="%7."/>
      <w:lvlJc w:val="left"/>
      <w:pPr>
        <w:ind w:left="4938" w:hanging="720"/>
      </w:pPr>
    </w:lvl>
    <w:lvl w:ilvl="7">
      <w:start w:val="1"/>
      <w:numFmt w:val="lowerLetter"/>
      <w:lvlText w:val="%8."/>
      <w:lvlJc w:val="left"/>
      <w:pPr>
        <w:ind w:left="5641" w:hanging="720"/>
      </w:pPr>
    </w:lvl>
    <w:lvl w:ilvl="8">
      <w:start w:val="1"/>
      <w:numFmt w:val="lowerRoman"/>
      <w:lvlText w:val="%9."/>
      <w:lvlJc w:val="right"/>
      <w:pPr>
        <w:ind w:left="6344" w:hanging="720"/>
      </w:pPr>
    </w:lvl>
  </w:abstractNum>
  <w:abstractNum w:abstractNumId="31" w15:restartNumberingAfterBreak="0">
    <w:nsid w:val="692E612D"/>
    <w:multiLevelType w:val="hybridMultilevel"/>
    <w:tmpl w:val="A5A05CC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6A614DE8"/>
    <w:multiLevelType w:val="hybridMultilevel"/>
    <w:tmpl w:val="F1D2B654"/>
    <w:lvl w:ilvl="0" w:tplc="4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AA179B7"/>
    <w:multiLevelType w:val="hybridMultilevel"/>
    <w:tmpl w:val="618487E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6BDA4E7C"/>
    <w:multiLevelType w:val="multilevel"/>
    <w:tmpl w:val="608E7B04"/>
    <w:lvl w:ilvl="0">
      <w:start w:val="1"/>
      <w:numFmt w:val="upperLetter"/>
      <w:lvlText w:val="%1."/>
      <w:lvlJc w:val="left"/>
      <w:pPr>
        <w:ind w:left="786" w:hanging="360"/>
      </w:pPr>
      <w:rPr>
        <w:rFonts w:ascii="Arial" w:hAnsi="Arial" w:cs="Arial" w:hint="default"/>
      </w:rPr>
    </w:lvl>
    <w:lvl w:ilvl="1">
      <w:start w:val="1"/>
      <w:numFmt w:val="decimal"/>
      <w:lvlText w:val="%1.%2."/>
      <w:lvlJc w:val="left"/>
      <w:pPr>
        <w:ind w:left="1218" w:hanging="432"/>
      </w:pPr>
      <w:rPr>
        <w:rFonts w:hint="default"/>
        <w:strike w:val="0"/>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pStyle w:val="Heading5"/>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5" w15:restartNumberingAfterBreak="0">
    <w:nsid w:val="6E77111F"/>
    <w:multiLevelType w:val="hybridMultilevel"/>
    <w:tmpl w:val="9746C19A"/>
    <w:lvl w:ilvl="0" w:tplc="A29A591C">
      <w:start w:val="1"/>
      <w:numFmt w:val="lowerLetter"/>
      <w:lvlText w:val="%1)"/>
      <w:lvlJc w:val="left"/>
      <w:pPr>
        <w:ind w:left="720" w:hanging="360"/>
      </w:pPr>
      <w:rPr>
        <w:sz w:val="24"/>
        <w:szCs w:val="24"/>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6" w15:restartNumberingAfterBreak="0">
    <w:nsid w:val="72EF125C"/>
    <w:multiLevelType w:val="multilevel"/>
    <w:tmpl w:val="EF2022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214505"/>
    <w:multiLevelType w:val="hybridMultilevel"/>
    <w:tmpl w:val="19D0AF1E"/>
    <w:lvl w:ilvl="0" w:tplc="28A6EE4E">
      <w:start w:val="1"/>
      <w:numFmt w:val="decimal"/>
      <w:lvlText w:val="%1"/>
      <w:lvlJc w:val="righ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758E1021"/>
    <w:multiLevelType w:val="hybridMultilevel"/>
    <w:tmpl w:val="01CC3B4A"/>
    <w:lvl w:ilvl="0" w:tplc="9E80FDF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31113A"/>
    <w:multiLevelType w:val="hybridMultilevel"/>
    <w:tmpl w:val="BF387DF0"/>
    <w:lvl w:ilvl="0" w:tplc="4538D5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475738"/>
    <w:multiLevelType w:val="hybridMultilevel"/>
    <w:tmpl w:val="553A13F4"/>
    <w:lvl w:ilvl="0" w:tplc="4AF89ACE">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77CC203F"/>
    <w:multiLevelType w:val="hybridMultilevel"/>
    <w:tmpl w:val="C8260C5C"/>
    <w:lvl w:ilvl="0" w:tplc="1AFC8F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7A3988"/>
    <w:multiLevelType w:val="hybridMultilevel"/>
    <w:tmpl w:val="CDB65A16"/>
    <w:lvl w:ilvl="0" w:tplc="4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E5F64BB"/>
    <w:multiLevelType w:val="hybridMultilevel"/>
    <w:tmpl w:val="F90CF542"/>
    <w:lvl w:ilvl="0" w:tplc="821A945E">
      <w:start w:val="1"/>
      <w:numFmt w:val="decimal"/>
      <w:lvlText w:val="%1"/>
      <w:lvlJc w:val="right"/>
      <w:pPr>
        <w:ind w:left="720" w:hanging="360"/>
      </w:pPr>
      <w:rPr>
        <w:rFonts w:hint="default"/>
        <w:b w:val="0"/>
        <w:bCs/>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7EBF336A"/>
    <w:multiLevelType w:val="hybridMultilevel"/>
    <w:tmpl w:val="C30C38D8"/>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7ECD636F"/>
    <w:multiLevelType w:val="hybridMultilevel"/>
    <w:tmpl w:val="306CE4DC"/>
    <w:lvl w:ilvl="0" w:tplc="63400752">
      <w:start w:val="1"/>
      <w:numFmt w:val="lowerLetter"/>
      <w:lvlText w:val="%1)"/>
      <w:lvlJc w:val="left"/>
      <w:pPr>
        <w:ind w:left="720" w:hanging="360"/>
      </w:pPr>
      <w:rPr>
        <w:rFonts w:hint="default"/>
        <w:color w:val="auto"/>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34"/>
  </w:num>
  <w:num w:numId="2">
    <w:abstractNumId w:val="2"/>
  </w:num>
  <w:num w:numId="3">
    <w:abstractNumId w:val="6"/>
  </w:num>
  <w:num w:numId="4">
    <w:abstractNumId w:val="14"/>
  </w:num>
  <w:num w:numId="5">
    <w:abstractNumId w:val="13"/>
  </w:num>
  <w:num w:numId="6">
    <w:abstractNumId w:val="4"/>
  </w:num>
  <w:num w:numId="7">
    <w:abstractNumId w:val="19"/>
  </w:num>
  <w:num w:numId="8">
    <w:abstractNumId w:val="29"/>
  </w:num>
  <w:num w:numId="9">
    <w:abstractNumId w:val="41"/>
  </w:num>
  <w:num w:numId="10">
    <w:abstractNumId w:val="12"/>
  </w:num>
  <w:num w:numId="11">
    <w:abstractNumId w:val="36"/>
  </w:num>
  <w:num w:numId="12">
    <w:abstractNumId w:val="20"/>
  </w:num>
  <w:num w:numId="13">
    <w:abstractNumId w:val="11"/>
  </w:num>
  <w:num w:numId="14">
    <w:abstractNumId w:val="39"/>
  </w:num>
  <w:num w:numId="15">
    <w:abstractNumId w:val="8"/>
  </w:num>
  <w:num w:numId="16">
    <w:abstractNumId w:val="38"/>
  </w:num>
  <w:num w:numId="17">
    <w:abstractNumId w:val="4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1"/>
  </w:num>
  <w:num w:numId="26">
    <w:abstractNumId w:val="37"/>
  </w:num>
  <w:num w:numId="27">
    <w:abstractNumId w:val="40"/>
  </w:num>
  <w:num w:numId="28">
    <w:abstractNumId w:val="33"/>
  </w:num>
  <w:num w:numId="29">
    <w:abstractNumId w:val="3"/>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44"/>
  </w:num>
  <w:num w:numId="33">
    <w:abstractNumId w:val="28"/>
  </w:num>
  <w:num w:numId="34">
    <w:abstractNumId w:val="15"/>
  </w:num>
  <w:num w:numId="35">
    <w:abstractNumId w:val="25"/>
  </w:num>
  <w:num w:numId="36">
    <w:abstractNumId w:val="9"/>
  </w:num>
  <w:num w:numId="37">
    <w:abstractNumId w:val="22"/>
  </w:num>
  <w:num w:numId="38">
    <w:abstractNumId w:val="31"/>
  </w:num>
  <w:num w:numId="39">
    <w:abstractNumId w:val="17"/>
  </w:num>
  <w:num w:numId="40">
    <w:abstractNumId w:val="43"/>
  </w:num>
  <w:num w:numId="41">
    <w:abstractNumId w:val="0"/>
  </w:num>
  <w:num w:numId="42">
    <w:abstractNumId w:val="32"/>
  </w:num>
  <w:num w:numId="43">
    <w:abstractNumId w:val="1"/>
  </w:num>
  <w:num w:numId="4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27"/>
  </w:num>
  <w:num w:numId="4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SG"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SG" w:vendorID="64" w:dllVersion="0" w:nlCheck="1" w:checkStyle="0"/>
  <w:activeWritingStyle w:appName="MSWord" w:lang="en-GB"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02"/>
    <w:rsid w:val="00000048"/>
    <w:rsid w:val="00001C9D"/>
    <w:rsid w:val="00002F54"/>
    <w:rsid w:val="000031AE"/>
    <w:rsid w:val="00003B0E"/>
    <w:rsid w:val="00003DC2"/>
    <w:rsid w:val="00004FB7"/>
    <w:rsid w:val="00005562"/>
    <w:rsid w:val="00006AC7"/>
    <w:rsid w:val="00007BE7"/>
    <w:rsid w:val="00012E4E"/>
    <w:rsid w:val="0001301B"/>
    <w:rsid w:val="000143E8"/>
    <w:rsid w:val="00015179"/>
    <w:rsid w:val="00016803"/>
    <w:rsid w:val="00016AF3"/>
    <w:rsid w:val="00020258"/>
    <w:rsid w:val="000241DC"/>
    <w:rsid w:val="000258AB"/>
    <w:rsid w:val="00034FBC"/>
    <w:rsid w:val="00036CDF"/>
    <w:rsid w:val="00041C33"/>
    <w:rsid w:val="000439B7"/>
    <w:rsid w:val="00046117"/>
    <w:rsid w:val="00046FD5"/>
    <w:rsid w:val="00050439"/>
    <w:rsid w:val="000511F4"/>
    <w:rsid w:val="000519C6"/>
    <w:rsid w:val="0005277F"/>
    <w:rsid w:val="00056DE9"/>
    <w:rsid w:val="00057396"/>
    <w:rsid w:val="00057D7C"/>
    <w:rsid w:val="00061429"/>
    <w:rsid w:val="0006157A"/>
    <w:rsid w:val="00063115"/>
    <w:rsid w:val="000632BC"/>
    <w:rsid w:val="000652FC"/>
    <w:rsid w:val="0006673B"/>
    <w:rsid w:val="0006698B"/>
    <w:rsid w:val="000674A5"/>
    <w:rsid w:val="0007034D"/>
    <w:rsid w:val="00070FF3"/>
    <w:rsid w:val="000722CA"/>
    <w:rsid w:val="00073010"/>
    <w:rsid w:val="00076DA3"/>
    <w:rsid w:val="00077454"/>
    <w:rsid w:val="0008357E"/>
    <w:rsid w:val="00084FBD"/>
    <w:rsid w:val="00085341"/>
    <w:rsid w:val="00085E19"/>
    <w:rsid w:val="00086B65"/>
    <w:rsid w:val="0009063E"/>
    <w:rsid w:val="00090E7D"/>
    <w:rsid w:val="00090F6B"/>
    <w:rsid w:val="000934E4"/>
    <w:rsid w:val="00093EC2"/>
    <w:rsid w:val="00094244"/>
    <w:rsid w:val="00094DF0"/>
    <w:rsid w:val="0009745C"/>
    <w:rsid w:val="000974A2"/>
    <w:rsid w:val="000979C1"/>
    <w:rsid w:val="00097F5C"/>
    <w:rsid w:val="000A0BB8"/>
    <w:rsid w:val="000A0D21"/>
    <w:rsid w:val="000A2BCE"/>
    <w:rsid w:val="000A4535"/>
    <w:rsid w:val="000A55A4"/>
    <w:rsid w:val="000A5AE9"/>
    <w:rsid w:val="000A66A9"/>
    <w:rsid w:val="000A6E70"/>
    <w:rsid w:val="000A6F5E"/>
    <w:rsid w:val="000B1D58"/>
    <w:rsid w:val="000B1D9F"/>
    <w:rsid w:val="000B1EC4"/>
    <w:rsid w:val="000B2121"/>
    <w:rsid w:val="000B253D"/>
    <w:rsid w:val="000B2FC7"/>
    <w:rsid w:val="000B361B"/>
    <w:rsid w:val="000B3C63"/>
    <w:rsid w:val="000B3D57"/>
    <w:rsid w:val="000B602B"/>
    <w:rsid w:val="000B7206"/>
    <w:rsid w:val="000B75A5"/>
    <w:rsid w:val="000B772D"/>
    <w:rsid w:val="000C2659"/>
    <w:rsid w:val="000C2BDB"/>
    <w:rsid w:val="000C42E3"/>
    <w:rsid w:val="000C6F24"/>
    <w:rsid w:val="000D0E07"/>
    <w:rsid w:val="000D4012"/>
    <w:rsid w:val="000D4DBC"/>
    <w:rsid w:val="000D5F41"/>
    <w:rsid w:val="000D7140"/>
    <w:rsid w:val="000D7623"/>
    <w:rsid w:val="000E1263"/>
    <w:rsid w:val="000E1545"/>
    <w:rsid w:val="000E23E6"/>
    <w:rsid w:val="000E3ED5"/>
    <w:rsid w:val="000E42ED"/>
    <w:rsid w:val="000E69B3"/>
    <w:rsid w:val="000E719C"/>
    <w:rsid w:val="000E72B1"/>
    <w:rsid w:val="000E78AD"/>
    <w:rsid w:val="000E7FD1"/>
    <w:rsid w:val="000F0B4D"/>
    <w:rsid w:val="000F20DA"/>
    <w:rsid w:val="000F2B99"/>
    <w:rsid w:val="000F36A1"/>
    <w:rsid w:val="000F4F99"/>
    <w:rsid w:val="000F5DC2"/>
    <w:rsid w:val="000F6967"/>
    <w:rsid w:val="000F6F83"/>
    <w:rsid w:val="00103615"/>
    <w:rsid w:val="001040D9"/>
    <w:rsid w:val="00105577"/>
    <w:rsid w:val="001061E3"/>
    <w:rsid w:val="00106587"/>
    <w:rsid w:val="00110940"/>
    <w:rsid w:val="00111DD4"/>
    <w:rsid w:val="0011497A"/>
    <w:rsid w:val="00114C4A"/>
    <w:rsid w:val="00114DAC"/>
    <w:rsid w:val="00116F37"/>
    <w:rsid w:val="00121C31"/>
    <w:rsid w:val="00121E5F"/>
    <w:rsid w:val="00123AA7"/>
    <w:rsid w:val="00123CEA"/>
    <w:rsid w:val="001240D5"/>
    <w:rsid w:val="001242E3"/>
    <w:rsid w:val="0012678F"/>
    <w:rsid w:val="00126FE9"/>
    <w:rsid w:val="00127362"/>
    <w:rsid w:val="00127855"/>
    <w:rsid w:val="001278DF"/>
    <w:rsid w:val="001279BD"/>
    <w:rsid w:val="00130426"/>
    <w:rsid w:val="00134B7A"/>
    <w:rsid w:val="00135B24"/>
    <w:rsid w:val="001361EB"/>
    <w:rsid w:val="00136F7F"/>
    <w:rsid w:val="00137C40"/>
    <w:rsid w:val="0014119B"/>
    <w:rsid w:val="001429B2"/>
    <w:rsid w:val="00142BCE"/>
    <w:rsid w:val="001436A3"/>
    <w:rsid w:val="00147D29"/>
    <w:rsid w:val="001501FB"/>
    <w:rsid w:val="001504BA"/>
    <w:rsid w:val="00151B2A"/>
    <w:rsid w:val="001523B6"/>
    <w:rsid w:val="00152C67"/>
    <w:rsid w:val="00156260"/>
    <w:rsid w:val="001562A0"/>
    <w:rsid w:val="00156FB5"/>
    <w:rsid w:val="001605AD"/>
    <w:rsid w:val="00160F80"/>
    <w:rsid w:val="00161A88"/>
    <w:rsid w:val="001626F2"/>
    <w:rsid w:val="00163704"/>
    <w:rsid w:val="00163FB9"/>
    <w:rsid w:val="001658FB"/>
    <w:rsid w:val="0016771D"/>
    <w:rsid w:val="00170F88"/>
    <w:rsid w:val="001723FA"/>
    <w:rsid w:val="0017256A"/>
    <w:rsid w:val="001726AC"/>
    <w:rsid w:val="0017402F"/>
    <w:rsid w:val="001810A8"/>
    <w:rsid w:val="00183ECE"/>
    <w:rsid w:val="001847D6"/>
    <w:rsid w:val="001927DB"/>
    <w:rsid w:val="00195E3E"/>
    <w:rsid w:val="0019785A"/>
    <w:rsid w:val="001A042C"/>
    <w:rsid w:val="001A5571"/>
    <w:rsid w:val="001A5FA4"/>
    <w:rsid w:val="001A614F"/>
    <w:rsid w:val="001B15AE"/>
    <w:rsid w:val="001B1DAF"/>
    <w:rsid w:val="001B4717"/>
    <w:rsid w:val="001B6C64"/>
    <w:rsid w:val="001B766E"/>
    <w:rsid w:val="001B7808"/>
    <w:rsid w:val="001C156E"/>
    <w:rsid w:val="001C2CA3"/>
    <w:rsid w:val="001C2F6A"/>
    <w:rsid w:val="001C42D6"/>
    <w:rsid w:val="001C57A2"/>
    <w:rsid w:val="001C6CBE"/>
    <w:rsid w:val="001C73B5"/>
    <w:rsid w:val="001D0614"/>
    <w:rsid w:val="001D445C"/>
    <w:rsid w:val="001D4E65"/>
    <w:rsid w:val="001D5AC3"/>
    <w:rsid w:val="001D5D86"/>
    <w:rsid w:val="001D63B1"/>
    <w:rsid w:val="001D7868"/>
    <w:rsid w:val="001E06FE"/>
    <w:rsid w:val="001E0F29"/>
    <w:rsid w:val="001E6206"/>
    <w:rsid w:val="001E682D"/>
    <w:rsid w:val="001E6DF1"/>
    <w:rsid w:val="001E74A3"/>
    <w:rsid w:val="001E778F"/>
    <w:rsid w:val="001E7BB3"/>
    <w:rsid w:val="001F09F3"/>
    <w:rsid w:val="001F0FC9"/>
    <w:rsid w:val="001F24C0"/>
    <w:rsid w:val="001F2936"/>
    <w:rsid w:val="001F2E23"/>
    <w:rsid w:val="001F3C85"/>
    <w:rsid w:val="001F4020"/>
    <w:rsid w:val="001F4D64"/>
    <w:rsid w:val="001F528B"/>
    <w:rsid w:val="001F5AFA"/>
    <w:rsid w:val="001F7190"/>
    <w:rsid w:val="001F7716"/>
    <w:rsid w:val="0020013D"/>
    <w:rsid w:val="00200472"/>
    <w:rsid w:val="00201266"/>
    <w:rsid w:val="00201878"/>
    <w:rsid w:val="00201E08"/>
    <w:rsid w:val="00203D60"/>
    <w:rsid w:val="00204099"/>
    <w:rsid w:val="00204665"/>
    <w:rsid w:val="00204688"/>
    <w:rsid w:val="00206282"/>
    <w:rsid w:val="0020658E"/>
    <w:rsid w:val="002070CC"/>
    <w:rsid w:val="00210B9D"/>
    <w:rsid w:val="00210DCA"/>
    <w:rsid w:val="00210F5A"/>
    <w:rsid w:val="002114C1"/>
    <w:rsid w:val="00211A9F"/>
    <w:rsid w:val="002129AC"/>
    <w:rsid w:val="00212D96"/>
    <w:rsid w:val="00212E35"/>
    <w:rsid w:val="002154B1"/>
    <w:rsid w:val="00216317"/>
    <w:rsid w:val="00217706"/>
    <w:rsid w:val="0021792D"/>
    <w:rsid w:val="00220C70"/>
    <w:rsid w:val="00221C47"/>
    <w:rsid w:val="00223223"/>
    <w:rsid w:val="00223912"/>
    <w:rsid w:val="002243F9"/>
    <w:rsid w:val="00224B56"/>
    <w:rsid w:val="00225F94"/>
    <w:rsid w:val="0022656C"/>
    <w:rsid w:val="00234152"/>
    <w:rsid w:val="00234370"/>
    <w:rsid w:val="00234D4E"/>
    <w:rsid w:val="00236584"/>
    <w:rsid w:val="0023734B"/>
    <w:rsid w:val="00240BB9"/>
    <w:rsid w:val="00241F2D"/>
    <w:rsid w:val="0024278B"/>
    <w:rsid w:val="00244C36"/>
    <w:rsid w:val="0024528C"/>
    <w:rsid w:val="00245475"/>
    <w:rsid w:val="00245550"/>
    <w:rsid w:val="00247085"/>
    <w:rsid w:val="00247D87"/>
    <w:rsid w:val="0025038A"/>
    <w:rsid w:val="00250B9A"/>
    <w:rsid w:val="00253978"/>
    <w:rsid w:val="00253DF5"/>
    <w:rsid w:val="00255246"/>
    <w:rsid w:val="002564BE"/>
    <w:rsid w:val="00262918"/>
    <w:rsid w:val="002630EC"/>
    <w:rsid w:val="00265200"/>
    <w:rsid w:val="00266954"/>
    <w:rsid w:val="0026719A"/>
    <w:rsid w:val="002673B0"/>
    <w:rsid w:val="00267A26"/>
    <w:rsid w:val="00267EB1"/>
    <w:rsid w:val="00272EBF"/>
    <w:rsid w:val="00274CDE"/>
    <w:rsid w:val="00275637"/>
    <w:rsid w:val="00277EAC"/>
    <w:rsid w:val="002827A3"/>
    <w:rsid w:val="00282EF8"/>
    <w:rsid w:val="00283248"/>
    <w:rsid w:val="00283EB4"/>
    <w:rsid w:val="002845B1"/>
    <w:rsid w:val="00286605"/>
    <w:rsid w:val="002869B7"/>
    <w:rsid w:val="0028723D"/>
    <w:rsid w:val="002907FF"/>
    <w:rsid w:val="00290B3B"/>
    <w:rsid w:val="00290F70"/>
    <w:rsid w:val="0029145B"/>
    <w:rsid w:val="00292056"/>
    <w:rsid w:val="00292B2C"/>
    <w:rsid w:val="002941D3"/>
    <w:rsid w:val="00295263"/>
    <w:rsid w:val="0029556F"/>
    <w:rsid w:val="002966A3"/>
    <w:rsid w:val="002973A7"/>
    <w:rsid w:val="002976E7"/>
    <w:rsid w:val="002A14E3"/>
    <w:rsid w:val="002A259A"/>
    <w:rsid w:val="002A2665"/>
    <w:rsid w:val="002A45A1"/>
    <w:rsid w:val="002A54E1"/>
    <w:rsid w:val="002A562E"/>
    <w:rsid w:val="002B12B5"/>
    <w:rsid w:val="002B41EF"/>
    <w:rsid w:val="002B45E1"/>
    <w:rsid w:val="002B4694"/>
    <w:rsid w:val="002B797D"/>
    <w:rsid w:val="002B7F3A"/>
    <w:rsid w:val="002C090A"/>
    <w:rsid w:val="002C1B72"/>
    <w:rsid w:val="002C1C40"/>
    <w:rsid w:val="002C2425"/>
    <w:rsid w:val="002C24F5"/>
    <w:rsid w:val="002C3D81"/>
    <w:rsid w:val="002C4511"/>
    <w:rsid w:val="002C5544"/>
    <w:rsid w:val="002C6190"/>
    <w:rsid w:val="002C692F"/>
    <w:rsid w:val="002D0371"/>
    <w:rsid w:val="002D5C23"/>
    <w:rsid w:val="002D5D50"/>
    <w:rsid w:val="002D6800"/>
    <w:rsid w:val="002D7816"/>
    <w:rsid w:val="002E22E9"/>
    <w:rsid w:val="002E4294"/>
    <w:rsid w:val="002E6929"/>
    <w:rsid w:val="002E7077"/>
    <w:rsid w:val="002F0322"/>
    <w:rsid w:val="002F0FD9"/>
    <w:rsid w:val="002F12DD"/>
    <w:rsid w:val="002F28A9"/>
    <w:rsid w:val="002F70BF"/>
    <w:rsid w:val="00300382"/>
    <w:rsid w:val="00300603"/>
    <w:rsid w:val="00301064"/>
    <w:rsid w:val="0030172A"/>
    <w:rsid w:val="00302B9A"/>
    <w:rsid w:val="00302C59"/>
    <w:rsid w:val="003042F5"/>
    <w:rsid w:val="00304B68"/>
    <w:rsid w:val="00304E1C"/>
    <w:rsid w:val="0030614B"/>
    <w:rsid w:val="00306DB7"/>
    <w:rsid w:val="00312121"/>
    <w:rsid w:val="003129FA"/>
    <w:rsid w:val="00312F3A"/>
    <w:rsid w:val="003166F7"/>
    <w:rsid w:val="00316B16"/>
    <w:rsid w:val="00316D94"/>
    <w:rsid w:val="0031739B"/>
    <w:rsid w:val="003213B6"/>
    <w:rsid w:val="003216CA"/>
    <w:rsid w:val="00323D0E"/>
    <w:rsid w:val="00324AE0"/>
    <w:rsid w:val="00327D73"/>
    <w:rsid w:val="0033290A"/>
    <w:rsid w:val="00333028"/>
    <w:rsid w:val="00340F1E"/>
    <w:rsid w:val="003418A2"/>
    <w:rsid w:val="00341FB9"/>
    <w:rsid w:val="0034215C"/>
    <w:rsid w:val="0034322C"/>
    <w:rsid w:val="0034393D"/>
    <w:rsid w:val="003442EE"/>
    <w:rsid w:val="00345113"/>
    <w:rsid w:val="00345673"/>
    <w:rsid w:val="003460CC"/>
    <w:rsid w:val="003460D5"/>
    <w:rsid w:val="003479E3"/>
    <w:rsid w:val="00350CE2"/>
    <w:rsid w:val="00350E71"/>
    <w:rsid w:val="00351BF5"/>
    <w:rsid w:val="00352D83"/>
    <w:rsid w:val="00352E3C"/>
    <w:rsid w:val="00353F42"/>
    <w:rsid w:val="003540E8"/>
    <w:rsid w:val="00354B3D"/>
    <w:rsid w:val="00356533"/>
    <w:rsid w:val="00356C4A"/>
    <w:rsid w:val="003612DF"/>
    <w:rsid w:val="003616D5"/>
    <w:rsid w:val="0036309F"/>
    <w:rsid w:val="003637E1"/>
    <w:rsid w:val="0036513A"/>
    <w:rsid w:val="0036558F"/>
    <w:rsid w:val="003667B6"/>
    <w:rsid w:val="00366E4B"/>
    <w:rsid w:val="00367D9C"/>
    <w:rsid w:val="00371D62"/>
    <w:rsid w:val="003723EB"/>
    <w:rsid w:val="00374273"/>
    <w:rsid w:val="00375E56"/>
    <w:rsid w:val="003763BD"/>
    <w:rsid w:val="00376899"/>
    <w:rsid w:val="00376C62"/>
    <w:rsid w:val="00376F9D"/>
    <w:rsid w:val="0037778C"/>
    <w:rsid w:val="00380FEC"/>
    <w:rsid w:val="00382BD1"/>
    <w:rsid w:val="003865CE"/>
    <w:rsid w:val="00386A23"/>
    <w:rsid w:val="00392D30"/>
    <w:rsid w:val="00393014"/>
    <w:rsid w:val="00396ABF"/>
    <w:rsid w:val="003A379C"/>
    <w:rsid w:val="003A4C41"/>
    <w:rsid w:val="003A528D"/>
    <w:rsid w:val="003A77F4"/>
    <w:rsid w:val="003B27B2"/>
    <w:rsid w:val="003B3129"/>
    <w:rsid w:val="003B427E"/>
    <w:rsid w:val="003B554D"/>
    <w:rsid w:val="003B5606"/>
    <w:rsid w:val="003C038E"/>
    <w:rsid w:val="003C2160"/>
    <w:rsid w:val="003C26DB"/>
    <w:rsid w:val="003C33AE"/>
    <w:rsid w:val="003C562D"/>
    <w:rsid w:val="003C7072"/>
    <w:rsid w:val="003C770E"/>
    <w:rsid w:val="003D0666"/>
    <w:rsid w:val="003D0BB2"/>
    <w:rsid w:val="003D38E7"/>
    <w:rsid w:val="003D5DF2"/>
    <w:rsid w:val="003D7BD6"/>
    <w:rsid w:val="003E075B"/>
    <w:rsid w:val="003E1639"/>
    <w:rsid w:val="003E2C80"/>
    <w:rsid w:val="003E44BD"/>
    <w:rsid w:val="003E5250"/>
    <w:rsid w:val="003E5386"/>
    <w:rsid w:val="003E53A8"/>
    <w:rsid w:val="003E6C8E"/>
    <w:rsid w:val="003E7200"/>
    <w:rsid w:val="003E7C1D"/>
    <w:rsid w:val="003F0086"/>
    <w:rsid w:val="003F0D8C"/>
    <w:rsid w:val="003F22B3"/>
    <w:rsid w:val="003F26ED"/>
    <w:rsid w:val="003F3705"/>
    <w:rsid w:val="003F37A8"/>
    <w:rsid w:val="003F4106"/>
    <w:rsid w:val="003F619A"/>
    <w:rsid w:val="003F70DC"/>
    <w:rsid w:val="003F7982"/>
    <w:rsid w:val="004010E6"/>
    <w:rsid w:val="004019C5"/>
    <w:rsid w:val="00401E80"/>
    <w:rsid w:val="00403CFA"/>
    <w:rsid w:val="004073B2"/>
    <w:rsid w:val="00410014"/>
    <w:rsid w:val="00410C3B"/>
    <w:rsid w:val="00414443"/>
    <w:rsid w:val="00414F82"/>
    <w:rsid w:val="00415019"/>
    <w:rsid w:val="004166FC"/>
    <w:rsid w:val="00416A78"/>
    <w:rsid w:val="004177BC"/>
    <w:rsid w:val="004225B9"/>
    <w:rsid w:val="00423749"/>
    <w:rsid w:val="0042387F"/>
    <w:rsid w:val="00423CB0"/>
    <w:rsid w:val="00427343"/>
    <w:rsid w:val="00427959"/>
    <w:rsid w:val="004314C1"/>
    <w:rsid w:val="00433D6F"/>
    <w:rsid w:val="00435B57"/>
    <w:rsid w:val="004376C7"/>
    <w:rsid w:val="004416AB"/>
    <w:rsid w:val="00441A95"/>
    <w:rsid w:val="0044249A"/>
    <w:rsid w:val="00442E19"/>
    <w:rsid w:val="004440B8"/>
    <w:rsid w:val="00444D06"/>
    <w:rsid w:val="00446E77"/>
    <w:rsid w:val="004511D9"/>
    <w:rsid w:val="0045141C"/>
    <w:rsid w:val="004519AB"/>
    <w:rsid w:val="004533C9"/>
    <w:rsid w:val="00453BD4"/>
    <w:rsid w:val="00453F64"/>
    <w:rsid w:val="004542F6"/>
    <w:rsid w:val="0045493A"/>
    <w:rsid w:val="00455EEB"/>
    <w:rsid w:val="004560B9"/>
    <w:rsid w:val="00457BD7"/>
    <w:rsid w:val="0046096A"/>
    <w:rsid w:val="00460C14"/>
    <w:rsid w:val="00461406"/>
    <w:rsid w:val="00463FBA"/>
    <w:rsid w:val="00465653"/>
    <w:rsid w:val="004659E5"/>
    <w:rsid w:val="00467CEE"/>
    <w:rsid w:val="00472184"/>
    <w:rsid w:val="00474F75"/>
    <w:rsid w:val="0047521F"/>
    <w:rsid w:val="004762B0"/>
    <w:rsid w:val="00477E4C"/>
    <w:rsid w:val="00480280"/>
    <w:rsid w:val="00480B34"/>
    <w:rsid w:val="004812F6"/>
    <w:rsid w:val="00483D81"/>
    <w:rsid w:val="00484200"/>
    <w:rsid w:val="004842A1"/>
    <w:rsid w:val="0048482E"/>
    <w:rsid w:val="00484C13"/>
    <w:rsid w:val="0048605C"/>
    <w:rsid w:val="004866A8"/>
    <w:rsid w:val="0049050C"/>
    <w:rsid w:val="004908A4"/>
    <w:rsid w:val="004943C4"/>
    <w:rsid w:val="004952C4"/>
    <w:rsid w:val="00495AD6"/>
    <w:rsid w:val="00496A96"/>
    <w:rsid w:val="0049747F"/>
    <w:rsid w:val="004A05EC"/>
    <w:rsid w:val="004A0A43"/>
    <w:rsid w:val="004A100E"/>
    <w:rsid w:val="004A1181"/>
    <w:rsid w:val="004A1A6B"/>
    <w:rsid w:val="004A290F"/>
    <w:rsid w:val="004A39B0"/>
    <w:rsid w:val="004A3EE4"/>
    <w:rsid w:val="004A4A95"/>
    <w:rsid w:val="004A5188"/>
    <w:rsid w:val="004A5B00"/>
    <w:rsid w:val="004B0985"/>
    <w:rsid w:val="004B28E1"/>
    <w:rsid w:val="004B2F97"/>
    <w:rsid w:val="004B3AAE"/>
    <w:rsid w:val="004B79F9"/>
    <w:rsid w:val="004C1E4D"/>
    <w:rsid w:val="004C461C"/>
    <w:rsid w:val="004C6584"/>
    <w:rsid w:val="004C7FD3"/>
    <w:rsid w:val="004D03D3"/>
    <w:rsid w:val="004D1125"/>
    <w:rsid w:val="004D1446"/>
    <w:rsid w:val="004D27E8"/>
    <w:rsid w:val="004D3AAD"/>
    <w:rsid w:val="004D440E"/>
    <w:rsid w:val="004D7975"/>
    <w:rsid w:val="004D7C1A"/>
    <w:rsid w:val="004D7FC6"/>
    <w:rsid w:val="004E0EA3"/>
    <w:rsid w:val="004E3D5F"/>
    <w:rsid w:val="004E543C"/>
    <w:rsid w:val="004E5802"/>
    <w:rsid w:val="004E6B2D"/>
    <w:rsid w:val="004E7644"/>
    <w:rsid w:val="004F107C"/>
    <w:rsid w:val="004F1561"/>
    <w:rsid w:val="004F563E"/>
    <w:rsid w:val="00503004"/>
    <w:rsid w:val="005031F8"/>
    <w:rsid w:val="00503599"/>
    <w:rsid w:val="005040BE"/>
    <w:rsid w:val="0050422A"/>
    <w:rsid w:val="00504980"/>
    <w:rsid w:val="005065C2"/>
    <w:rsid w:val="005071B7"/>
    <w:rsid w:val="00511801"/>
    <w:rsid w:val="005138D1"/>
    <w:rsid w:val="005145B7"/>
    <w:rsid w:val="00515952"/>
    <w:rsid w:val="00520A43"/>
    <w:rsid w:val="00524AF7"/>
    <w:rsid w:val="0052515C"/>
    <w:rsid w:val="00527285"/>
    <w:rsid w:val="005306A9"/>
    <w:rsid w:val="005308F9"/>
    <w:rsid w:val="005330EC"/>
    <w:rsid w:val="00534AD6"/>
    <w:rsid w:val="005351E9"/>
    <w:rsid w:val="00536796"/>
    <w:rsid w:val="005379CF"/>
    <w:rsid w:val="00540A3A"/>
    <w:rsid w:val="005434A0"/>
    <w:rsid w:val="00543C41"/>
    <w:rsid w:val="00543F2C"/>
    <w:rsid w:val="005441A6"/>
    <w:rsid w:val="00545907"/>
    <w:rsid w:val="005479FF"/>
    <w:rsid w:val="0055024C"/>
    <w:rsid w:val="00550E02"/>
    <w:rsid w:val="00551573"/>
    <w:rsid w:val="00553F09"/>
    <w:rsid w:val="00556158"/>
    <w:rsid w:val="00556929"/>
    <w:rsid w:val="00556F0A"/>
    <w:rsid w:val="00557946"/>
    <w:rsid w:val="005632EA"/>
    <w:rsid w:val="00563B35"/>
    <w:rsid w:val="005641B8"/>
    <w:rsid w:val="00566B72"/>
    <w:rsid w:val="0057076C"/>
    <w:rsid w:val="00572A90"/>
    <w:rsid w:val="00573034"/>
    <w:rsid w:val="00573B70"/>
    <w:rsid w:val="00574C93"/>
    <w:rsid w:val="005752BF"/>
    <w:rsid w:val="00575EFA"/>
    <w:rsid w:val="00575FFD"/>
    <w:rsid w:val="00580552"/>
    <w:rsid w:val="00580D72"/>
    <w:rsid w:val="0058352D"/>
    <w:rsid w:val="00583C4C"/>
    <w:rsid w:val="00586829"/>
    <w:rsid w:val="005900C7"/>
    <w:rsid w:val="0059068D"/>
    <w:rsid w:val="00592267"/>
    <w:rsid w:val="0059281C"/>
    <w:rsid w:val="00593ED5"/>
    <w:rsid w:val="00593F34"/>
    <w:rsid w:val="005A0C1F"/>
    <w:rsid w:val="005A42E3"/>
    <w:rsid w:val="005A7798"/>
    <w:rsid w:val="005B0EFC"/>
    <w:rsid w:val="005B13DF"/>
    <w:rsid w:val="005B482B"/>
    <w:rsid w:val="005B56D7"/>
    <w:rsid w:val="005B57A4"/>
    <w:rsid w:val="005B5920"/>
    <w:rsid w:val="005B5A84"/>
    <w:rsid w:val="005B6B2F"/>
    <w:rsid w:val="005B6F29"/>
    <w:rsid w:val="005C0B88"/>
    <w:rsid w:val="005C1478"/>
    <w:rsid w:val="005C2B4D"/>
    <w:rsid w:val="005C4914"/>
    <w:rsid w:val="005D2ABA"/>
    <w:rsid w:val="005D549B"/>
    <w:rsid w:val="005E0B39"/>
    <w:rsid w:val="005E1112"/>
    <w:rsid w:val="005E18C6"/>
    <w:rsid w:val="005E2DCC"/>
    <w:rsid w:val="005E3BE7"/>
    <w:rsid w:val="005E6476"/>
    <w:rsid w:val="005E70F5"/>
    <w:rsid w:val="005E7A52"/>
    <w:rsid w:val="005F325F"/>
    <w:rsid w:val="005F5E11"/>
    <w:rsid w:val="005F619E"/>
    <w:rsid w:val="005F682A"/>
    <w:rsid w:val="005F70F3"/>
    <w:rsid w:val="005F778E"/>
    <w:rsid w:val="0060214B"/>
    <w:rsid w:val="006047ED"/>
    <w:rsid w:val="006062E7"/>
    <w:rsid w:val="00606601"/>
    <w:rsid w:val="00606E1B"/>
    <w:rsid w:val="00607287"/>
    <w:rsid w:val="006075B3"/>
    <w:rsid w:val="00607E31"/>
    <w:rsid w:val="00613CDB"/>
    <w:rsid w:val="00615165"/>
    <w:rsid w:val="00620F86"/>
    <w:rsid w:val="006213C0"/>
    <w:rsid w:val="0062585B"/>
    <w:rsid w:val="00625D4D"/>
    <w:rsid w:val="006310A3"/>
    <w:rsid w:val="00632241"/>
    <w:rsid w:val="006350A2"/>
    <w:rsid w:val="00635221"/>
    <w:rsid w:val="00637395"/>
    <w:rsid w:val="00641417"/>
    <w:rsid w:val="00644ED9"/>
    <w:rsid w:val="00646423"/>
    <w:rsid w:val="00646B73"/>
    <w:rsid w:val="006515AA"/>
    <w:rsid w:val="0065166F"/>
    <w:rsid w:val="00652CE0"/>
    <w:rsid w:val="00653BED"/>
    <w:rsid w:val="00654321"/>
    <w:rsid w:val="00654326"/>
    <w:rsid w:val="00656498"/>
    <w:rsid w:val="006577BE"/>
    <w:rsid w:val="00657FBF"/>
    <w:rsid w:val="00661012"/>
    <w:rsid w:val="006624CC"/>
    <w:rsid w:val="00662ED0"/>
    <w:rsid w:val="0066368A"/>
    <w:rsid w:val="00663BEC"/>
    <w:rsid w:val="00664575"/>
    <w:rsid w:val="00667148"/>
    <w:rsid w:val="00670E3D"/>
    <w:rsid w:val="00672579"/>
    <w:rsid w:val="00672870"/>
    <w:rsid w:val="006804AC"/>
    <w:rsid w:val="006809E4"/>
    <w:rsid w:val="00682336"/>
    <w:rsid w:val="0068314D"/>
    <w:rsid w:val="0068317C"/>
    <w:rsid w:val="006872B1"/>
    <w:rsid w:val="00691E38"/>
    <w:rsid w:val="00692E5D"/>
    <w:rsid w:val="00694E2D"/>
    <w:rsid w:val="00697EF2"/>
    <w:rsid w:val="006A072B"/>
    <w:rsid w:val="006A13AB"/>
    <w:rsid w:val="006A1F93"/>
    <w:rsid w:val="006A2D8B"/>
    <w:rsid w:val="006A3927"/>
    <w:rsid w:val="006A39FF"/>
    <w:rsid w:val="006B06B8"/>
    <w:rsid w:val="006B0DA9"/>
    <w:rsid w:val="006B1225"/>
    <w:rsid w:val="006B1B76"/>
    <w:rsid w:val="006B262A"/>
    <w:rsid w:val="006B5E8C"/>
    <w:rsid w:val="006B64A2"/>
    <w:rsid w:val="006B78B4"/>
    <w:rsid w:val="006C069B"/>
    <w:rsid w:val="006C08B9"/>
    <w:rsid w:val="006C0B52"/>
    <w:rsid w:val="006C53B8"/>
    <w:rsid w:val="006C5E01"/>
    <w:rsid w:val="006C73DA"/>
    <w:rsid w:val="006C79BC"/>
    <w:rsid w:val="006D0713"/>
    <w:rsid w:val="006D159B"/>
    <w:rsid w:val="006D1927"/>
    <w:rsid w:val="006D4AB1"/>
    <w:rsid w:val="006D66E3"/>
    <w:rsid w:val="006E098B"/>
    <w:rsid w:val="006E1CEA"/>
    <w:rsid w:val="006E3AA7"/>
    <w:rsid w:val="006E3DC5"/>
    <w:rsid w:val="006E4497"/>
    <w:rsid w:val="006E6AEA"/>
    <w:rsid w:val="006F38C4"/>
    <w:rsid w:val="006F5F91"/>
    <w:rsid w:val="006F6F7F"/>
    <w:rsid w:val="006F775F"/>
    <w:rsid w:val="00702176"/>
    <w:rsid w:val="00702743"/>
    <w:rsid w:val="00702C98"/>
    <w:rsid w:val="007037D1"/>
    <w:rsid w:val="007046C9"/>
    <w:rsid w:val="007051F6"/>
    <w:rsid w:val="007063F6"/>
    <w:rsid w:val="0070658B"/>
    <w:rsid w:val="0070753F"/>
    <w:rsid w:val="007102E4"/>
    <w:rsid w:val="00710A37"/>
    <w:rsid w:val="007111A0"/>
    <w:rsid w:val="007128C6"/>
    <w:rsid w:val="00714580"/>
    <w:rsid w:val="00714CC2"/>
    <w:rsid w:val="00727EEC"/>
    <w:rsid w:val="00733427"/>
    <w:rsid w:val="00733BF0"/>
    <w:rsid w:val="00735097"/>
    <w:rsid w:val="007355A2"/>
    <w:rsid w:val="00736735"/>
    <w:rsid w:val="0073798D"/>
    <w:rsid w:val="00737DCA"/>
    <w:rsid w:val="0074026D"/>
    <w:rsid w:val="0074055A"/>
    <w:rsid w:val="00740664"/>
    <w:rsid w:val="00740955"/>
    <w:rsid w:val="00741D80"/>
    <w:rsid w:val="0074278B"/>
    <w:rsid w:val="00742BCE"/>
    <w:rsid w:val="00742F02"/>
    <w:rsid w:val="00743800"/>
    <w:rsid w:val="00745146"/>
    <w:rsid w:val="007503F0"/>
    <w:rsid w:val="007519D7"/>
    <w:rsid w:val="0075371A"/>
    <w:rsid w:val="00753788"/>
    <w:rsid w:val="00755E50"/>
    <w:rsid w:val="007564EF"/>
    <w:rsid w:val="00756746"/>
    <w:rsid w:val="007567A8"/>
    <w:rsid w:val="00761C88"/>
    <w:rsid w:val="00762DC2"/>
    <w:rsid w:val="007673CD"/>
    <w:rsid w:val="007674F4"/>
    <w:rsid w:val="0077099C"/>
    <w:rsid w:val="0077375F"/>
    <w:rsid w:val="00773879"/>
    <w:rsid w:val="00773B94"/>
    <w:rsid w:val="00774570"/>
    <w:rsid w:val="00774CCA"/>
    <w:rsid w:val="00774DAE"/>
    <w:rsid w:val="00777016"/>
    <w:rsid w:val="0077729F"/>
    <w:rsid w:val="00781EE8"/>
    <w:rsid w:val="007826BF"/>
    <w:rsid w:val="00782E19"/>
    <w:rsid w:val="007840B0"/>
    <w:rsid w:val="00784C82"/>
    <w:rsid w:val="007852FC"/>
    <w:rsid w:val="00786334"/>
    <w:rsid w:val="00786DAF"/>
    <w:rsid w:val="007903D6"/>
    <w:rsid w:val="00790828"/>
    <w:rsid w:val="00790FAF"/>
    <w:rsid w:val="007910D9"/>
    <w:rsid w:val="00791DD0"/>
    <w:rsid w:val="00796D05"/>
    <w:rsid w:val="00796E8E"/>
    <w:rsid w:val="00796F41"/>
    <w:rsid w:val="007A0A27"/>
    <w:rsid w:val="007A1507"/>
    <w:rsid w:val="007A175B"/>
    <w:rsid w:val="007A37AC"/>
    <w:rsid w:val="007A6A6E"/>
    <w:rsid w:val="007A7BBD"/>
    <w:rsid w:val="007A7D3D"/>
    <w:rsid w:val="007B0C8A"/>
    <w:rsid w:val="007B1AB5"/>
    <w:rsid w:val="007B2E72"/>
    <w:rsid w:val="007B2F4A"/>
    <w:rsid w:val="007B3476"/>
    <w:rsid w:val="007B470F"/>
    <w:rsid w:val="007B6E03"/>
    <w:rsid w:val="007C09BD"/>
    <w:rsid w:val="007C1D94"/>
    <w:rsid w:val="007C38E4"/>
    <w:rsid w:val="007C65D1"/>
    <w:rsid w:val="007C6944"/>
    <w:rsid w:val="007C6972"/>
    <w:rsid w:val="007C71BC"/>
    <w:rsid w:val="007C7CA5"/>
    <w:rsid w:val="007D04C4"/>
    <w:rsid w:val="007D071F"/>
    <w:rsid w:val="007D0812"/>
    <w:rsid w:val="007E1BF3"/>
    <w:rsid w:val="007E3F89"/>
    <w:rsid w:val="007E5F2B"/>
    <w:rsid w:val="007E663C"/>
    <w:rsid w:val="007E68AB"/>
    <w:rsid w:val="007F1B02"/>
    <w:rsid w:val="007F1D7A"/>
    <w:rsid w:val="007F4B63"/>
    <w:rsid w:val="007F5185"/>
    <w:rsid w:val="007F522E"/>
    <w:rsid w:val="007F678D"/>
    <w:rsid w:val="00802B69"/>
    <w:rsid w:val="00803B6F"/>
    <w:rsid w:val="00804ED8"/>
    <w:rsid w:val="008058C2"/>
    <w:rsid w:val="00806B39"/>
    <w:rsid w:val="00810A72"/>
    <w:rsid w:val="008138EB"/>
    <w:rsid w:val="00814CFD"/>
    <w:rsid w:val="008154FB"/>
    <w:rsid w:val="00816D34"/>
    <w:rsid w:val="008176C1"/>
    <w:rsid w:val="00817DE9"/>
    <w:rsid w:val="00821292"/>
    <w:rsid w:val="00821CB6"/>
    <w:rsid w:val="00823223"/>
    <w:rsid w:val="00825F06"/>
    <w:rsid w:val="00827AD6"/>
    <w:rsid w:val="00830814"/>
    <w:rsid w:val="00832434"/>
    <w:rsid w:val="00833166"/>
    <w:rsid w:val="00833D13"/>
    <w:rsid w:val="008406B4"/>
    <w:rsid w:val="00842B5D"/>
    <w:rsid w:val="00842E7C"/>
    <w:rsid w:val="00843B6B"/>
    <w:rsid w:val="00845708"/>
    <w:rsid w:val="00845B05"/>
    <w:rsid w:val="00850E38"/>
    <w:rsid w:val="008535BE"/>
    <w:rsid w:val="008536B5"/>
    <w:rsid w:val="00857E16"/>
    <w:rsid w:val="00860C1A"/>
    <w:rsid w:val="0086139F"/>
    <w:rsid w:val="0086438F"/>
    <w:rsid w:val="0086452B"/>
    <w:rsid w:val="00865D65"/>
    <w:rsid w:val="00867359"/>
    <w:rsid w:val="00874DE6"/>
    <w:rsid w:val="00874E03"/>
    <w:rsid w:val="0087557A"/>
    <w:rsid w:val="00875669"/>
    <w:rsid w:val="00875C63"/>
    <w:rsid w:val="00875D0F"/>
    <w:rsid w:val="00876D4A"/>
    <w:rsid w:val="008778B3"/>
    <w:rsid w:val="00877B2F"/>
    <w:rsid w:val="00877CA8"/>
    <w:rsid w:val="00880044"/>
    <w:rsid w:val="00880D7B"/>
    <w:rsid w:val="00880F24"/>
    <w:rsid w:val="008836EC"/>
    <w:rsid w:val="00883BE4"/>
    <w:rsid w:val="00885552"/>
    <w:rsid w:val="008857E2"/>
    <w:rsid w:val="00886034"/>
    <w:rsid w:val="00886AA2"/>
    <w:rsid w:val="008870D6"/>
    <w:rsid w:val="00890B54"/>
    <w:rsid w:val="0089237A"/>
    <w:rsid w:val="00892809"/>
    <w:rsid w:val="008941BC"/>
    <w:rsid w:val="00895357"/>
    <w:rsid w:val="0089551B"/>
    <w:rsid w:val="00896FC7"/>
    <w:rsid w:val="008A3590"/>
    <w:rsid w:val="008A4452"/>
    <w:rsid w:val="008A7646"/>
    <w:rsid w:val="008B0BFE"/>
    <w:rsid w:val="008B111C"/>
    <w:rsid w:val="008B2C4E"/>
    <w:rsid w:val="008B3DE2"/>
    <w:rsid w:val="008B4384"/>
    <w:rsid w:val="008B46E0"/>
    <w:rsid w:val="008B578D"/>
    <w:rsid w:val="008B7963"/>
    <w:rsid w:val="008C1284"/>
    <w:rsid w:val="008C2400"/>
    <w:rsid w:val="008C29EA"/>
    <w:rsid w:val="008C4C64"/>
    <w:rsid w:val="008C75D8"/>
    <w:rsid w:val="008D37C9"/>
    <w:rsid w:val="008D3F5B"/>
    <w:rsid w:val="008D4CB9"/>
    <w:rsid w:val="008D65E9"/>
    <w:rsid w:val="008D78C7"/>
    <w:rsid w:val="008D79E3"/>
    <w:rsid w:val="008D7A37"/>
    <w:rsid w:val="008E146E"/>
    <w:rsid w:val="008E3497"/>
    <w:rsid w:val="008E4D02"/>
    <w:rsid w:val="008E5D71"/>
    <w:rsid w:val="008F14B9"/>
    <w:rsid w:val="008F1F9C"/>
    <w:rsid w:val="008F4B2B"/>
    <w:rsid w:val="008F50F1"/>
    <w:rsid w:val="008F55B9"/>
    <w:rsid w:val="008F5BE2"/>
    <w:rsid w:val="00900220"/>
    <w:rsid w:val="00900301"/>
    <w:rsid w:val="00904578"/>
    <w:rsid w:val="009070F8"/>
    <w:rsid w:val="009077FA"/>
    <w:rsid w:val="009106CD"/>
    <w:rsid w:val="009108B2"/>
    <w:rsid w:val="0091138C"/>
    <w:rsid w:val="00913B48"/>
    <w:rsid w:val="009143B6"/>
    <w:rsid w:val="0091442C"/>
    <w:rsid w:val="00914F7C"/>
    <w:rsid w:val="0091510A"/>
    <w:rsid w:val="009160A3"/>
    <w:rsid w:val="00917A7A"/>
    <w:rsid w:val="00917CE6"/>
    <w:rsid w:val="00920854"/>
    <w:rsid w:val="00920CF8"/>
    <w:rsid w:val="0092219B"/>
    <w:rsid w:val="0092319C"/>
    <w:rsid w:val="009249F7"/>
    <w:rsid w:val="00925B80"/>
    <w:rsid w:val="0092638C"/>
    <w:rsid w:val="009301B7"/>
    <w:rsid w:val="00930E1C"/>
    <w:rsid w:val="00931DDB"/>
    <w:rsid w:val="0093308E"/>
    <w:rsid w:val="009343FE"/>
    <w:rsid w:val="00940091"/>
    <w:rsid w:val="00941B1D"/>
    <w:rsid w:val="00942231"/>
    <w:rsid w:val="00942896"/>
    <w:rsid w:val="00943D32"/>
    <w:rsid w:val="00945570"/>
    <w:rsid w:val="00945AD7"/>
    <w:rsid w:val="0094615F"/>
    <w:rsid w:val="00950F7F"/>
    <w:rsid w:val="009526DF"/>
    <w:rsid w:val="0095458B"/>
    <w:rsid w:val="0095470F"/>
    <w:rsid w:val="009549DD"/>
    <w:rsid w:val="00955565"/>
    <w:rsid w:val="00957F99"/>
    <w:rsid w:val="00960121"/>
    <w:rsid w:val="00960156"/>
    <w:rsid w:val="009614C9"/>
    <w:rsid w:val="009623D0"/>
    <w:rsid w:val="00962672"/>
    <w:rsid w:val="00962C2A"/>
    <w:rsid w:val="009642BC"/>
    <w:rsid w:val="0096640A"/>
    <w:rsid w:val="009667EA"/>
    <w:rsid w:val="00972461"/>
    <w:rsid w:val="009756AE"/>
    <w:rsid w:val="009802D4"/>
    <w:rsid w:val="00980AC0"/>
    <w:rsid w:val="00982F7D"/>
    <w:rsid w:val="00983631"/>
    <w:rsid w:val="00984336"/>
    <w:rsid w:val="00984AD9"/>
    <w:rsid w:val="00987836"/>
    <w:rsid w:val="00991FA0"/>
    <w:rsid w:val="009932C9"/>
    <w:rsid w:val="00996DAF"/>
    <w:rsid w:val="009A3101"/>
    <w:rsid w:val="009A3588"/>
    <w:rsid w:val="009A5509"/>
    <w:rsid w:val="009A6177"/>
    <w:rsid w:val="009A7D57"/>
    <w:rsid w:val="009B0236"/>
    <w:rsid w:val="009B0490"/>
    <w:rsid w:val="009B08EB"/>
    <w:rsid w:val="009B0CC1"/>
    <w:rsid w:val="009B17D0"/>
    <w:rsid w:val="009B1DCA"/>
    <w:rsid w:val="009B2735"/>
    <w:rsid w:val="009B2A51"/>
    <w:rsid w:val="009B5B40"/>
    <w:rsid w:val="009B5F19"/>
    <w:rsid w:val="009B7089"/>
    <w:rsid w:val="009C18DE"/>
    <w:rsid w:val="009C6550"/>
    <w:rsid w:val="009C7078"/>
    <w:rsid w:val="009D1AFE"/>
    <w:rsid w:val="009D3152"/>
    <w:rsid w:val="009D3477"/>
    <w:rsid w:val="009D4BCB"/>
    <w:rsid w:val="009D4DCC"/>
    <w:rsid w:val="009D61F3"/>
    <w:rsid w:val="009D7C16"/>
    <w:rsid w:val="009E0B62"/>
    <w:rsid w:val="009E408C"/>
    <w:rsid w:val="009E417A"/>
    <w:rsid w:val="009E5CE4"/>
    <w:rsid w:val="009E5F6C"/>
    <w:rsid w:val="009E655B"/>
    <w:rsid w:val="009F1839"/>
    <w:rsid w:val="009F1C8A"/>
    <w:rsid w:val="009F1D0B"/>
    <w:rsid w:val="009F4242"/>
    <w:rsid w:val="009F5C4A"/>
    <w:rsid w:val="009F65A1"/>
    <w:rsid w:val="009F6D10"/>
    <w:rsid w:val="009F6D4C"/>
    <w:rsid w:val="00A00BB2"/>
    <w:rsid w:val="00A01C3A"/>
    <w:rsid w:val="00A058BA"/>
    <w:rsid w:val="00A0643C"/>
    <w:rsid w:val="00A06588"/>
    <w:rsid w:val="00A12437"/>
    <w:rsid w:val="00A14DAD"/>
    <w:rsid w:val="00A167CE"/>
    <w:rsid w:val="00A2115D"/>
    <w:rsid w:val="00A215E2"/>
    <w:rsid w:val="00A221EC"/>
    <w:rsid w:val="00A2233D"/>
    <w:rsid w:val="00A234D6"/>
    <w:rsid w:val="00A26336"/>
    <w:rsid w:val="00A27431"/>
    <w:rsid w:val="00A277A6"/>
    <w:rsid w:val="00A31E31"/>
    <w:rsid w:val="00A32A5B"/>
    <w:rsid w:val="00A3743E"/>
    <w:rsid w:val="00A37DE2"/>
    <w:rsid w:val="00A40C61"/>
    <w:rsid w:val="00A438CC"/>
    <w:rsid w:val="00A43AC3"/>
    <w:rsid w:val="00A45176"/>
    <w:rsid w:val="00A46AAF"/>
    <w:rsid w:val="00A4758A"/>
    <w:rsid w:val="00A50264"/>
    <w:rsid w:val="00A51975"/>
    <w:rsid w:val="00A537AB"/>
    <w:rsid w:val="00A54636"/>
    <w:rsid w:val="00A54F01"/>
    <w:rsid w:val="00A561DD"/>
    <w:rsid w:val="00A562FB"/>
    <w:rsid w:val="00A57956"/>
    <w:rsid w:val="00A57E86"/>
    <w:rsid w:val="00A6325C"/>
    <w:rsid w:val="00A6388C"/>
    <w:rsid w:val="00A63B33"/>
    <w:rsid w:val="00A64525"/>
    <w:rsid w:val="00A65CF7"/>
    <w:rsid w:val="00A665A5"/>
    <w:rsid w:val="00A70BB8"/>
    <w:rsid w:val="00A70CB2"/>
    <w:rsid w:val="00A7161B"/>
    <w:rsid w:val="00A723F3"/>
    <w:rsid w:val="00A7429D"/>
    <w:rsid w:val="00A75433"/>
    <w:rsid w:val="00A75C78"/>
    <w:rsid w:val="00A75F6E"/>
    <w:rsid w:val="00A765F2"/>
    <w:rsid w:val="00A803D4"/>
    <w:rsid w:val="00A80B85"/>
    <w:rsid w:val="00A817B5"/>
    <w:rsid w:val="00A82138"/>
    <w:rsid w:val="00A84AD0"/>
    <w:rsid w:val="00A84B44"/>
    <w:rsid w:val="00A84F6E"/>
    <w:rsid w:val="00A85A70"/>
    <w:rsid w:val="00A85D9A"/>
    <w:rsid w:val="00A869CE"/>
    <w:rsid w:val="00A87C18"/>
    <w:rsid w:val="00A91220"/>
    <w:rsid w:val="00A92449"/>
    <w:rsid w:val="00A945B6"/>
    <w:rsid w:val="00A9462C"/>
    <w:rsid w:val="00A95B52"/>
    <w:rsid w:val="00A9608F"/>
    <w:rsid w:val="00A968B3"/>
    <w:rsid w:val="00AA023C"/>
    <w:rsid w:val="00AA4B49"/>
    <w:rsid w:val="00AA514C"/>
    <w:rsid w:val="00AA559B"/>
    <w:rsid w:val="00AA6671"/>
    <w:rsid w:val="00AA6687"/>
    <w:rsid w:val="00AA7DDD"/>
    <w:rsid w:val="00AB0365"/>
    <w:rsid w:val="00AB2D10"/>
    <w:rsid w:val="00AB3561"/>
    <w:rsid w:val="00AB38F9"/>
    <w:rsid w:val="00AB3C12"/>
    <w:rsid w:val="00AB565B"/>
    <w:rsid w:val="00AB6895"/>
    <w:rsid w:val="00AB7C78"/>
    <w:rsid w:val="00AC0279"/>
    <w:rsid w:val="00AC04C6"/>
    <w:rsid w:val="00AC0737"/>
    <w:rsid w:val="00AC115E"/>
    <w:rsid w:val="00AC2C4F"/>
    <w:rsid w:val="00AC39CD"/>
    <w:rsid w:val="00AC3B22"/>
    <w:rsid w:val="00AD2959"/>
    <w:rsid w:val="00AD2DB4"/>
    <w:rsid w:val="00AD2DD4"/>
    <w:rsid w:val="00AD31EB"/>
    <w:rsid w:val="00AD3EB2"/>
    <w:rsid w:val="00AE06FB"/>
    <w:rsid w:val="00AE1A17"/>
    <w:rsid w:val="00AE237B"/>
    <w:rsid w:val="00AE363B"/>
    <w:rsid w:val="00AE422E"/>
    <w:rsid w:val="00AE6D2F"/>
    <w:rsid w:val="00AE70EC"/>
    <w:rsid w:val="00AE7B1F"/>
    <w:rsid w:val="00AF1BA1"/>
    <w:rsid w:val="00AF2C0C"/>
    <w:rsid w:val="00B01ACF"/>
    <w:rsid w:val="00B025D6"/>
    <w:rsid w:val="00B04C48"/>
    <w:rsid w:val="00B10695"/>
    <w:rsid w:val="00B10897"/>
    <w:rsid w:val="00B10C9B"/>
    <w:rsid w:val="00B13701"/>
    <w:rsid w:val="00B13EAC"/>
    <w:rsid w:val="00B14784"/>
    <w:rsid w:val="00B147F0"/>
    <w:rsid w:val="00B14CD9"/>
    <w:rsid w:val="00B14F6E"/>
    <w:rsid w:val="00B2189D"/>
    <w:rsid w:val="00B22EB8"/>
    <w:rsid w:val="00B23386"/>
    <w:rsid w:val="00B2365D"/>
    <w:rsid w:val="00B25F28"/>
    <w:rsid w:val="00B262F8"/>
    <w:rsid w:val="00B2676E"/>
    <w:rsid w:val="00B27714"/>
    <w:rsid w:val="00B30ED4"/>
    <w:rsid w:val="00B33EEC"/>
    <w:rsid w:val="00B4376A"/>
    <w:rsid w:val="00B4377D"/>
    <w:rsid w:val="00B437AB"/>
    <w:rsid w:val="00B46574"/>
    <w:rsid w:val="00B53E96"/>
    <w:rsid w:val="00B55896"/>
    <w:rsid w:val="00B57664"/>
    <w:rsid w:val="00B576BB"/>
    <w:rsid w:val="00B60C24"/>
    <w:rsid w:val="00B6145D"/>
    <w:rsid w:val="00B62981"/>
    <w:rsid w:val="00B64140"/>
    <w:rsid w:val="00B729E5"/>
    <w:rsid w:val="00B738EE"/>
    <w:rsid w:val="00B74E15"/>
    <w:rsid w:val="00B75BBB"/>
    <w:rsid w:val="00B77C03"/>
    <w:rsid w:val="00B81D97"/>
    <w:rsid w:val="00B82766"/>
    <w:rsid w:val="00B8286B"/>
    <w:rsid w:val="00B83742"/>
    <w:rsid w:val="00B84AAF"/>
    <w:rsid w:val="00B84AF2"/>
    <w:rsid w:val="00B852B2"/>
    <w:rsid w:val="00B85EB5"/>
    <w:rsid w:val="00B85FB9"/>
    <w:rsid w:val="00B94236"/>
    <w:rsid w:val="00B944BC"/>
    <w:rsid w:val="00BA0D76"/>
    <w:rsid w:val="00BA169B"/>
    <w:rsid w:val="00BA1AD8"/>
    <w:rsid w:val="00BA27D4"/>
    <w:rsid w:val="00BA5A3E"/>
    <w:rsid w:val="00BA6071"/>
    <w:rsid w:val="00BA6B43"/>
    <w:rsid w:val="00BA7325"/>
    <w:rsid w:val="00BB1B3D"/>
    <w:rsid w:val="00BB26CB"/>
    <w:rsid w:val="00BB3293"/>
    <w:rsid w:val="00BB3D7E"/>
    <w:rsid w:val="00BB78A9"/>
    <w:rsid w:val="00BB7E9E"/>
    <w:rsid w:val="00BC15C0"/>
    <w:rsid w:val="00BC1BCC"/>
    <w:rsid w:val="00BC206F"/>
    <w:rsid w:val="00BC2DAB"/>
    <w:rsid w:val="00BC4648"/>
    <w:rsid w:val="00BC4D7E"/>
    <w:rsid w:val="00BC610E"/>
    <w:rsid w:val="00BC6E7C"/>
    <w:rsid w:val="00BC6EE8"/>
    <w:rsid w:val="00BC7A51"/>
    <w:rsid w:val="00BD0250"/>
    <w:rsid w:val="00BD1749"/>
    <w:rsid w:val="00BD392C"/>
    <w:rsid w:val="00BD3963"/>
    <w:rsid w:val="00BD45C9"/>
    <w:rsid w:val="00BD506D"/>
    <w:rsid w:val="00BE1475"/>
    <w:rsid w:val="00BE1939"/>
    <w:rsid w:val="00BE4990"/>
    <w:rsid w:val="00BE73D5"/>
    <w:rsid w:val="00BE7D9B"/>
    <w:rsid w:val="00BF06D5"/>
    <w:rsid w:val="00BF195D"/>
    <w:rsid w:val="00BF21B2"/>
    <w:rsid w:val="00BF41EE"/>
    <w:rsid w:val="00BF5918"/>
    <w:rsid w:val="00BF6405"/>
    <w:rsid w:val="00C004F0"/>
    <w:rsid w:val="00C00828"/>
    <w:rsid w:val="00C011C6"/>
    <w:rsid w:val="00C02B88"/>
    <w:rsid w:val="00C03190"/>
    <w:rsid w:val="00C040A4"/>
    <w:rsid w:val="00C05605"/>
    <w:rsid w:val="00C05BD6"/>
    <w:rsid w:val="00C06229"/>
    <w:rsid w:val="00C06422"/>
    <w:rsid w:val="00C076E7"/>
    <w:rsid w:val="00C07C2A"/>
    <w:rsid w:val="00C07F02"/>
    <w:rsid w:val="00C107D6"/>
    <w:rsid w:val="00C11107"/>
    <w:rsid w:val="00C12E7A"/>
    <w:rsid w:val="00C12ED5"/>
    <w:rsid w:val="00C135D2"/>
    <w:rsid w:val="00C151EA"/>
    <w:rsid w:val="00C1736D"/>
    <w:rsid w:val="00C1794E"/>
    <w:rsid w:val="00C179E0"/>
    <w:rsid w:val="00C17E90"/>
    <w:rsid w:val="00C225E9"/>
    <w:rsid w:val="00C30595"/>
    <w:rsid w:val="00C32E36"/>
    <w:rsid w:val="00C34CB6"/>
    <w:rsid w:val="00C4010E"/>
    <w:rsid w:val="00C42226"/>
    <w:rsid w:val="00C4579E"/>
    <w:rsid w:val="00C503BF"/>
    <w:rsid w:val="00C51471"/>
    <w:rsid w:val="00C5354E"/>
    <w:rsid w:val="00C54095"/>
    <w:rsid w:val="00C56BD1"/>
    <w:rsid w:val="00C604E7"/>
    <w:rsid w:val="00C60C6F"/>
    <w:rsid w:val="00C61CBE"/>
    <w:rsid w:val="00C63F13"/>
    <w:rsid w:val="00C70156"/>
    <w:rsid w:val="00C7092C"/>
    <w:rsid w:val="00C714AD"/>
    <w:rsid w:val="00C73CD3"/>
    <w:rsid w:val="00C767B5"/>
    <w:rsid w:val="00C76DC5"/>
    <w:rsid w:val="00C80725"/>
    <w:rsid w:val="00C80F7B"/>
    <w:rsid w:val="00C823DF"/>
    <w:rsid w:val="00C82F6A"/>
    <w:rsid w:val="00C839FD"/>
    <w:rsid w:val="00C853C6"/>
    <w:rsid w:val="00C86C5A"/>
    <w:rsid w:val="00C86FB5"/>
    <w:rsid w:val="00C92154"/>
    <w:rsid w:val="00C92986"/>
    <w:rsid w:val="00C94936"/>
    <w:rsid w:val="00C9501C"/>
    <w:rsid w:val="00C9630F"/>
    <w:rsid w:val="00C9773C"/>
    <w:rsid w:val="00CA0CF3"/>
    <w:rsid w:val="00CA162C"/>
    <w:rsid w:val="00CA191E"/>
    <w:rsid w:val="00CA290D"/>
    <w:rsid w:val="00CA309C"/>
    <w:rsid w:val="00CA43D1"/>
    <w:rsid w:val="00CA5336"/>
    <w:rsid w:val="00CB1D11"/>
    <w:rsid w:val="00CB23FF"/>
    <w:rsid w:val="00CB4227"/>
    <w:rsid w:val="00CB4CF0"/>
    <w:rsid w:val="00CB51D6"/>
    <w:rsid w:val="00CB630B"/>
    <w:rsid w:val="00CB69C2"/>
    <w:rsid w:val="00CB792E"/>
    <w:rsid w:val="00CC03A9"/>
    <w:rsid w:val="00CC1F2A"/>
    <w:rsid w:val="00CC1F3D"/>
    <w:rsid w:val="00CC33D3"/>
    <w:rsid w:val="00CC3D12"/>
    <w:rsid w:val="00CC527D"/>
    <w:rsid w:val="00CC75DE"/>
    <w:rsid w:val="00CD0112"/>
    <w:rsid w:val="00CD0FB2"/>
    <w:rsid w:val="00CD1414"/>
    <w:rsid w:val="00CD1FB3"/>
    <w:rsid w:val="00CD28AD"/>
    <w:rsid w:val="00CD3A87"/>
    <w:rsid w:val="00CD4150"/>
    <w:rsid w:val="00CD60CA"/>
    <w:rsid w:val="00CE2A07"/>
    <w:rsid w:val="00CE2C18"/>
    <w:rsid w:val="00CE387E"/>
    <w:rsid w:val="00CE46E7"/>
    <w:rsid w:val="00CF14FA"/>
    <w:rsid w:val="00CF2685"/>
    <w:rsid w:val="00CF5410"/>
    <w:rsid w:val="00D004A7"/>
    <w:rsid w:val="00D07238"/>
    <w:rsid w:val="00D074DE"/>
    <w:rsid w:val="00D1007D"/>
    <w:rsid w:val="00D11D57"/>
    <w:rsid w:val="00D13775"/>
    <w:rsid w:val="00D13899"/>
    <w:rsid w:val="00D138B3"/>
    <w:rsid w:val="00D17722"/>
    <w:rsid w:val="00D2035F"/>
    <w:rsid w:val="00D2409D"/>
    <w:rsid w:val="00D26D5F"/>
    <w:rsid w:val="00D31A79"/>
    <w:rsid w:val="00D3236C"/>
    <w:rsid w:val="00D327AB"/>
    <w:rsid w:val="00D32ECA"/>
    <w:rsid w:val="00D33B55"/>
    <w:rsid w:val="00D354B6"/>
    <w:rsid w:val="00D41B24"/>
    <w:rsid w:val="00D430CF"/>
    <w:rsid w:val="00D43ADF"/>
    <w:rsid w:val="00D57C54"/>
    <w:rsid w:val="00D6041F"/>
    <w:rsid w:val="00D63B3F"/>
    <w:rsid w:val="00D646BC"/>
    <w:rsid w:val="00D649D3"/>
    <w:rsid w:val="00D67BA7"/>
    <w:rsid w:val="00D71A5E"/>
    <w:rsid w:val="00D71A8E"/>
    <w:rsid w:val="00D722E3"/>
    <w:rsid w:val="00D72533"/>
    <w:rsid w:val="00D72883"/>
    <w:rsid w:val="00D7483C"/>
    <w:rsid w:val="00D75C01"/>
    <w:rsid w:val="00D7793E"/>
    <w:rsid w:val="00D77EEE"/>
    <w:rsid w:val="00D83970"/>
    <w:rsid w:val="00D83AD0"/>
    <w:rsid w:val="00D84E62"/>
    <w:rsid w:val="00D84F99"/>
    <w:rsid w:val="00D84FD0"/>
    <w:rsid w:val="00D853A6"/>
    <w:rsid w:val="00D85889"/>
    <w:rsid w:val="00D8702E"/>
    <w:rsid w:val="00D873C7"/>
    <w:rsid w:val="00D87470"/>
    <w:rsid w:val="00D87BA6"/>
    <w:rsid w:val="00D87BE0"/>
    <w:rsid w:val="00D903A0"/>
    <w:rsid w:val="00D90B5B"/>
    <w:rsid w:val="00D9360F"/>
    <w:rsid w:val="00D9448C"/>
    <w:rsid w:val="00D94550"/>
    <w:rsid w:val="00D94DCC"/>
    <w:rsid w:val="00D9597C"/>
    <w:rsid w:val="00DA0D6A"/>
    <w:rsid w:val="00DA1438"/>
    <w:rsid w:val="00DA596C"/>
    <w:rsid w:val="00DA66F1"/>
    <w:rsid w:val="00DB1164"/>
    <w:rsid w:val="00DB2BB7"/>
    <w:rsid w:val="00DB6397"/>
    <w:rsid w:val="00DB7089"/>
    <w:rsid w:val="00DB7CF4"/>
    <w:rsid w:val="00DB7FC7"/>
    <w:rsid w:val="00DC1089"/>
    <w:rsid w:val="00DC3CE5"/>
    <w:rsid w:val="00DC4654"/>
    <w:rsid w:val="00DC4BA1"/>
    <w:rsid w:val="00DC558A"/>
    <w:rsid w:val="00DC720D"/>
    <w:rsid w:val="00DD285D"/>
    <w:rsid w:val="00DD476F"/>
    <w:rsid w:val="00DD522D"/>
    <w:rsid w:val="00DD64C1"/>
    <w:rsid w:val="00DD666F"/>
    <w:rsid w:val="00DD68A5"/>
    <w:rsid w:val="00DD71E4"/>
    <w:rsid w:val="00DE282E"/>
    <w:rsid w:val="00DE3987"/>
    <w:rsid w:val="00DE5A23"/>
    <w:rsid w:val="00DE5EC4"/>
    <w:rsid w:val="00DE7AF0"/>
    <w:rsid w:val="00DF0A6D"/>
    <w:rsid w:val="00DF1783"/>
    <w:rsid w:val="00DF28A6"/>
    <w:rsid w:val="00DF29D0"/>
    <w:rsid w:val="00DF2BD6"/>
    <w:rsid w:val="00DF37E7"/>
    <w:rsid w:val="00DF38E5"/>
    <w:rsid w:val="00DF71AD"/>
    <w:rsid w:val="00DF76B4"/>
    <w:rsid w:val="00E00A18"/>
    <w:rsid w:val="00E01429"/>
    <w:rsid w:val="00E028F3"/>
    <w:rsid w:val="00E0308E"/>
    <w:rsid w:val="00E03F36"/>
    <w:rsid w:val="00E05B41"/>
    <w:rsid w:val="00E107D7"/>
    <w:rsid w:val="00E1216F"/>
    <w:rsid w:val="00E14E87"/>
    <w:rsid w:val="00E15570"/>
    <w:rsid w:val="00E21C33"/>
    <w:rsid w:val="00E26A97"/>
    <w:rsid w:val="00E26DF8"/>
    <w:rsid w:val="00E30307"/>
    <w:rsid w:val="00E30661"/>
    <w:rsid w:val="00E322DE"/>
    <w:rsid w:val="00E3273E"/>
    <w:rsid w:val="00E32884"/>
    <w:rsid w:val="00E36437"/>
    <w:rsid w:val="00E366D8"/>
    <w:rsid w:val="00E36F98"/>
    <w:rsid w:val="00E42D0D"/>
    <w:rsid w:val="00E42ED1"/>
    <w:rsid w:val="00E43240"/>
    <w:rsid w:val="00E4365E"/>
    <w:rsid w:val="00E43980"/>
    <w:rsid w:val="00E45310"/>
    <w:rsid w:val="00E469B7"/>
    <w:rsid w:val="00E508ED"/>
    <w:rsid w:val="00E51B50"/>
    <w:rsid w:val="00E5352D"/>
    <w:rsid w:val="00E53793"/>
    <w:rsid w:val="00E53FAE"/>
    <w:rsid w:val="00E54672"/>
    <w:rsid w:val="00E549F2"/>
    <w:rsid w:val="00E55736"/>
    <w:rsid w:val="00E5610E"/>
    <w:rsid w:val="00E563B4"/>
    <w:rsid w:val="00E60110"/>
    <w:rsid w:val="00E6235F"/>
    <w:rsid w:val="00E62E06"/>
    <w:rsid w:val="00E66516"/>
    <w:rsid w:val="00E667F8"/>
    <w:rsid w:val="00E70214"/>
    <w:rsid w:val="00E716EF"/>
    <w:rsid w:val="00E72407"/>
    <w:rsid w:val="00E739EB"/>
    <w:rsid w:val="00E750A9"/>
    <w:rsid w:val="00E82745"/>
    <w:rsid w:val="00E846FB"/>
    <w:rsid w:val="00E902D2"/>
    <w:rsid w:val="00E926F2"/>
    <w:rsid w:val="00E92B35"/>
    <w:rsid w:val="00E95015"/>
    <w:rsid w:val="00E96388"/>
    <w:rsid w:val="00E963C3"/>
    <w:rsid w:val="00E96AF5"/>
    <w:rsid w:val="00E96C23"/>
    <w:rsid w:val="00E97A9B"/>
    <w:rsid w:val="00EA4F63"/>
    <w:rsid w:val="00EA6FD4"/>
    <w:rsid w:val="00EA749D"/>
    <w:rsid w:val="00EB0B4E"/>
    <w:rsid w:val="00EB0DF8"/>
    <w:rsid w:val="00EB43DB"/>
    <w:rsid w:val="00EB4CFB"/>
    <w:rsid w:val="00EB6020"/>
    <w:rsid w:val="00EC0486"/>
    <w:rsid w:val="00EC186C"/>
    <w:rsid w:val="00EC2E02"/>
    <w:rsid w:val="00EC632B"/>
    <w:rsid w:val="00EC6E04"/>
    <w:rsid w:val="00EC709C"/>
    <w:rsid w:val="00ED05F3"/>
    <w:rsid w:val="00ED1178"/>
    <w:rsid w:val="00ED15E8"/>
    <w:rsid w:val="00ED19BB"/>
    <w:rsid w:val="00ED1BDE"/>
    <w:rsid w:val="00ED1DAB"/>
    <w:rsid w:val="00ED4727"/>
    <w:rsid w:val="00ED50EB"/>
    <w:rsid w:val="00EE0410"/>
    <w:rsid w:val="00EE0708"/>
    <w:rsid w:val="00EE4672"/>
    <w:rsid w:val="00EE4F35"/>
    <w:rsid w:val="00EE607A"/>
    <w:rsid w:val="00EF1E28"/>
    <w:rsid w:val="00EF22A4"/>
    <w:rsid w:val="00EF3B35"/>
    <w:rsid w:val="00EF484E"/>
    <w:rsid w:val="00EF4B86"/>
    <w:rsid w:val="00EF7178"/>
    <w:rsid w:val="00F014CB"/>
    <w:rsid w:val="00F021A8"/>
    <w:rsid w:val="00F07F32"/>
    <w:rsid w:val="00F13132"/>
    <w:rsid w:val="00F13D99"/>
    <w:rsid w:val="00F15DE8"/>
    <w:rsid w:val="00F16341"/>
    <w:rsid w:val="00F16E3F"/>
    <w:rsid w:val="00F20347"/>
    <w:rsid w:val="00F21AB6"/>
    <w:rsid w:val="00F22C1A"/>
    <w:rsid w:val="00F24E41"/>
    <w:rsid w:val="00F25D84"/>
    <w:rsid w:val="00F31047"/>
    <w:rsid w:val="00F31424"/>
    <w:rsid w:val="00F31A00"/>
    <w:rsid w:val="00F32975"/>
    <w:rsid w:val="00F35F66"/>
    <w:rsid w:val="00F372A5"/>
    <w:rsid w:val="00F37E0F"/>
    <w:rsid w:val="00F37EBF"/>
    <w:rsid w:val="00F41AC0"/>
    <w:rsid w:val="00F427AF"/>
    <w:rsid w:val="00F42F54"/>
    <w:rsid w:val="00F453D9"/>
    <w:rsid w:val="00F46D3F"/>
    <w:rsid w:val="00F47289"/>
    <w:rsid w:val="00F50A13"/>
    <w:rsid w:val="00F511F7"/>
    <w:rsid w:val="00F5585E"/>
    <w:rsid w:val="00F56F6D"/>
    <w:rsid w:val="00F57A8A"/>
    <w:rsid w:val="00F60FBF"/>
    <w:rsid w:val="00F60FF6"/>
    <w:rsid w:val="00F61BCA"/>
    <w:rsid w:val="00F6369C"/>
    <w:rsid w:val="00F6528F"/>
    <w:rsid w:val="00F654B8"/>
    <w:rsid w:val="00F65ACE"/>
    <w:rsid w:val="00F664B6"/>
    <w:rsid w:val="00F70981"/>
    <w:rsid w:val="00F70E53"/>
    <w:rsid w:val="00F71F6A"/>
    <w:rsid w:val="00F73500"/>
    <w:rsid w:val="00F74065"/>
    <w:rsid w:val="00F75441"/>
    <w:rsid w:val="00F81DE8"/>
    <w:rsid w:val="00F85A15"/>
    <w:rsid w:val="00F85C70"/>
    <w:rsid w:val="00F91C8A"/>
    <w:rsid w:val="00F923ED"/>
    <w:rsid w:val="00F9334A"/>
    <w:rsid w:val="00F94180"/>
    <w:rsid w:val="00F95863"/>
    <w:rsid w:val="00F96687"/>
    <w:rsid w:val="00F96FF8"/>
    <w:rsid w:val="00FA0562"/>
    <w:rsid w:val="00FA121C"/>
    <w:rsid w:val="00FA2DC1"/>
    <w:rsid w:val="00FA41BE"/>
    <w:rsid w:val="00FA4360"/>
    <w:rsid w:val="00FA5620"/>
    <w:rsid w:val="00FA5ECC"/>
    <w:rsid w:val="00FA74F3"/>
    <w:rsid w:val="00FA7AD9"/>
    <w:rsid w:val="00FA7BF7"/>
    <w:rsid w:val="00FB011B"/>
    <w:rsid w:val="00FB1962"/>
    <w:rsid w:val="00FB20F3"/>
    <w:rsid w:val="00FB4663"/>
    <w:rsid w:val="00FB4893"/>
    <w:rsid w:val="00FB7822"/>
    <w:rsid w:val="00FC1307"/>
    <w:rsid w:val="00FC45D6"/>
    <w:rsid w:val="00FC4DCD"/>
    <w:rsid w:val="00FC5D23"/>
    <w:rsid w:val="00FD5238"/>
    <w:rsid w:val="00FD5F4D"/>
    <w:rsid w:val="00FE01A1"/>
    <w:rsid w:val="00FE3EFB"/>
    <w:rsid w:val="00FE461B"/>
    <w:rsid w:val="00FE6643"/>
    <w:rsid w:val="00FF09C2"/>
    <w:rsid w:val="00FF20ED"/>
    <w:rsid w:val="00FF3971"/>
    <w:rsid w:val="00FF46BF"/>
    <w:rsid w:val="00FF644C"/>
    <w:rsid w:val="00FF6F8F"/>
    <w:rsid w:val="00FF79F0"/>
    <w:rsid w:val="5C193C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A120A3"/>
  <w15:docId w15:val="{D2FEC8D0-5BB1-4E3A-B86D-FE00199B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B02"/>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B17D0"/>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semiHidden/>
    <w:unhideWhenUsed/>
    <w:qFormat/>
    <w:rsid w:val="00121C31"/>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iPriority w:val="9"/>
    <w:semiHidden/>
    <w:unhideWhenUsed/>
    <w:qFormat/>
    <w:rsid w:val="00086B65"/>
    <w:pPr>
      <w:keepNext/>
      <w:spacing w:before="240" w:after="60"/>
      <w:outlineLvl w:val="2"/>
    </w:pPr>
    <w:rPr>
      <w:rFonts w:ascii="Cambria" w:eastAsia="SimSun" w:hAnsi="Cambria"/>
      <w:b/>
      <w:bCs/>
      <w:sz w:val="26"/>
      <w:szCs w:val="26"/>
    </w:rPr>
  </w:style>
  <w:style w:type="paragraph" w:styleId="Heading5">
    <w:name w:val="heading 5"/>
    <w:basedOn w:val="Normal"/>
    <w:next w:val="Normal"/>
    <w:link w:val="Heading5Char"/>
    <w:qFormat/>
    <w:rsid w:val="00A277A6"/>
    <w:pPr>
      <w:keepLines/>
      <w:numPr>
        <w:ilvl w:val="4"/>
        <w:numId w:val="1"/>
      </w:numPr>
      <w:tabs>
        <w:tab w:val="left" w:pos="1200"/>
      </w:tabs>
      <w:spacing w:before="360" w:after="240" w:line="440" w:lineRule="atLeast"/>
      <w:outlineLvl w:val="4"/>
    </w:pPr>
    <w:rPr>
      <w:rFonts w:eastAsia="SimSun"/>
      <w:bCs/>
      <w:iCs/>
      <w:sz w:val="26"/>
      <w:szCs w:val="26"/>
      <w:lang w:val="en-SG" w:eastAsia="zh-CN"/>
    </w:rPr>
  </w:style>
  <w:style w:type="paragraph" w:styleId="Heading8">
    <w:name w:val="heading 8"/>
    <w:basedOn w:val="Normal"/>
    <w:next w:val="Normal"/>
    <w:link w:val="Heading8Char"/>
    <w:uiPriority w:val="9"/>
    <w:semiHidden/>
    <w:unhideWhenUsed/>
    <w:qFormat/>
    <w:rsid w:val="00796F41"/>
    <w:pPr>
      <w:spacing w:before="240" w:after="60"/>
      <w:outlineLvl w:val="7"/>
    </w:pPr>
    <w:rPr>
      <w:rFonts w:ascii="Calibri" w:eastAsia="SimSu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pSectionText1">
    <w:name w:val="ExpSectionText(1)"/>
    <w:basedOn w:val="Normal"/>
    <w:rsid w:val="007F1B02"/>
    <w:pPr>
      <w:suppressLineNumbers/>
      <w:spacing w:before="120"/>
      <w:ind w:firstLine="284"/>
      <w:jc w:val="both"/>
    </w:pPr>
    <w:rPr>
      <w:sz w:val="22"/>
      <w:szCs w:val="20"/>
    </w:rPr>
  </w:style>
  <w:style w:type="paragraph" w:customStyle="1" w:styleId="ExpSectionTexta">
    <w:name w:val="ExpSectionText(a)"/>
    <w:basedOn w:val="Normal"/>
    <w:rsid w:val="007F1B02"/>
    <w:pPr>
      <w:suppressLineNumbers/>
      <w:spacing w:before="120"/>
      <w:ind w:left="952" w:hanging="476"/>
      <w:jc w:val="both"/>
    </w:pPr>
    <w:rPr>
      <w:sz w:val="22"/>
      <w:szCs w:val="20"/>
    </w:rPr>
  </w:style>
  <w:style w:type="table" w:styleId="TableGrid">
    <w:name w:val="Table Grid"/>
    <w:basedOn w:val="TableNormal"/>
    <w:rsid w:val="007F1B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1B02"/>
    <w:pPr>
      <w:tabs>
        <w:tab w:val="center" w:pos="4320"/>
        <w:tab w:val="right" w:pos="8640"/>
      </w:tabs>
    </w:pPr>
  </w:style>
  <w:style w:type="character" w:customStyle="1" w:styleId="FooterChar">
    <w:name w:val="Footer Char"/>
    <w:basedOn w:val="DefaultParagraphFont"/>
    <w:link w:val="Footer"/>
    <w:uiPriority w:val="99"/>
    <w:rsid w:val="007F1B02"/>
    <w:rPr>
      <w:rFonts w:ascii="Times New Roman" w:eastAsia="Times New Roman" w:hAnsi="Times New Roman" w:cs="Times New Roman"/>
      <w:sz w:val="24"/>
      <w:szCs w:val="24"/>
      <w:lang w:eastAsia="en-US"/>
    </w:rPr>
  </w:style>
  <w:style w:type="character" w:styleId="PageNumber">
    <w:name w:val="page number"/>
    <w:basedOn w:val="DefaultParagraphFont"/>
    <w:rsid w:val="007F1B02"/>
  </w:style>
  <w:style w:type="paragraph" w:customStyle="1" w:styleId="ExpSectionTexti">
    <w:name w:val="ExpSectionText(i)"/>
    <w:basedOn w:val="Normal"/>
    <w:rsid w:val="00ED50EB"/>
    <w:pPr>
      <w:tabs>
        <w:tab w:val="right" w:pos="1350"/>
      </w:tabs>
      <w:spacing w:before="120"/>
      <w:ind w:left="1440" w:hanging="720"/>
      <w:jc w:val="both"/>
    </w:pPr>
    <w:rPr>
      <w:sz w:val="22"/>
      <w:szCs w:val="20"/>
    </w:rPr>
  </w:style>
  <w:style w:type="paragraph" w:customStyle="1" w:styleId="ExpSectionTextaN">
    <w:name w:val="ExpSectionText(a)N+"/>
    <w:basedOn w:val="Normal"/>
    <w:rsid w:val="00ED50EB"/>
    <w:pPr>
      <w:spacing w:before="120"/>
      <w:ind w:left="950"/>
      <w:jc w:val="both"/>
    </w:pPr>
    <w:rPr>
      <w:sz w:val="22"/>
      <w:szCs w:val="20"/>
    </w:rPr>
  </w:style>
  <w:style w:type="paragraph" w:styleId="BalloonText">
    <w:name w:val="Balloon Text"/>
    <w:basedOn w:val="Normal"/>
    <w:semiHidden/>
    <w:rsid w:val="0012678F"/>
    <w:rPr>
      <w:rFonts w:ascii="Tahoma" w:hAnsi="Tahoma" w:cs="Tahoma"/>
      <w:sz w:val="16"/>
      <w:szCs w:val="16"/>
    </w:rPr>
  </w:style>
  <w:style w:type="paragraph" w:styleId="ListParagraph">
    <w:name w:val="List Paragraph"/>
    <w:aliases w:val="Noise heading,RUS List,Credits,Number abc,a List Paragraph,Cell bullets,Text,123 List Paragraph,List Paragraph1,Recommendation,List Paragraph11,List Paragraph111,L,F5 List Paragraph,Dot pt,CV text,Table text,Medium Grid 1 - Accent 21"/>
    <w:basedOn w:val="Normal"/>
    <w:link w:val="ListParagraphChar"/>
    <w:uiPriority w:val="34"/>
    <w:qFormat/>
    <w:rsid w:val="00C604E7"/>
    <w:pPr>
      <w:ind w:left="720"/>
    </w:pPr>
    <w:rPr>
      <w:sz w:val="20"/>
      <w:szCs w:val="20"/>
    </w:rPr>
  </w:style>
  <w:style w:type="character" w:styleId="FootnoteReference">
    <w:name w:val="footnote reference"/>
    <w:aliases w:val="FOOTNOTE,pre-cab,ftref,16 Point,Superscript 6 Point,fr,stylish,Appel note de bas de p,Footnote,(NECG) Footnote Reference,o,Style 3,Style 12,Style 124,Appel,Footnote Reference Number,Footnote Reference_LVL6,Footnote Reference_LVL61,nor"/>
    <w:basedOn w:val="DefaultParagraphFont"/>
    <w:uiPriority w:val="99"/>
    <w:rsid w:val="00EB0DF8"/>
    <w:rPr>
      <w:vertAlign w:val="superscript"/>
    </w:rPr>
  </w:style>
  <w:style w:type="paragraph" w:styleId="FootnoteText">
    <w:name w:val="footnote text"/>
    <w:aliases w:val=" Char2,Char2,Footnote Text Char1 Char,Footnote Text Char Char Char,Footnote Text Char1,Footnote Text Char Char,Footnote Text Char2 Char Char,Footnote Text Char1 Char Char Char,Footnote Text Char Char Char Char Char,Arial, Char,Char,Car,fn"/>
    <w:basedOn w:val="Normal"/>
    <w:link w:val="FootnoteTextChar"/>
    <w:uiPriority w:val="99"/>
    <w:qFormat/>
    <w:rsid w:val="00EB0DF8"/>
    <w:pPr>
      <w:jc w:val="both"/>
    </w:pPr>
    <w:rPr>
      <w:sz w:val="20"/>
      <w:szCs w:val="20"/>
      <w:lang w:val="en-GB"/>
    </w:rPr>
  </w:style>
  <w:style w:type="character" w:customStyle="1" w:styleId="FootnoteTextChar">
    <w:name w:val="Footnote Text Char"/>
    <w:aliases w:val=" Char2 Char,Char2 Char,Footnote Text Char1 Char Char,Footnote Text Char Char Char Char,Footnote Text Char1 Char1,Footnote Text Char Char Char1,Footnote Text Char2 Char Char Char,Footnote Text Char1 Char Char Char Char,Arial Char"/>
    <w:basedOn w:val="DefaultParagraphFont"/>
    <w:link w:val="FootnoteText"/>
    <w:uiPriority w:val="99"/>
    <w:rsid w:val="00EB0DF8"/>
    <w:rPr>
      <w:rFonts w:ascii="Times New Roman" w:eastAsia="Times New Roman" w:hAnsi="Times New Roman"/>
      <w:lang w:val="en-GB" w:eastAsia="en-US"/>
    </w:rPr>
  </w:style>
  <w:style w:type="paragraph" w:styleId="PlainText">
    <w:name w:val="Plain Text"/>
    <w:basedOn w:val="Normal"/>
    <w:link w:val="PlainTextChar"/>
    <w:uiPriority w:val="99"/>
    <w:unhideWhenUsed/>
    <w:rsid w:val="007F522E"/>
    <w:rPr>
      <w:rFonts w:ascii="Arial" w:eastAsia="Calibri" w:hAnsi="Arial"/>
      <w:sz w:val="21"/>
      <w:szCs w:val="21"/>
      <w:lang w:val="en-SG"/>
    </w:rPr>
  </w:style>
  <w:style w:type="character" w:customStyle="1" w:styleId="PlainTextChar">
    <w:name w:val="Plain Text Char"/>
    <w:basedOn w:val="DefaultParagraphFont"/>
    <w:link w:val="PlainText"/>
    <w:uiPriority w:val="99"/>
    <w:rsid w:val="007F522E"/>
    <w:rPr>
      <w:rFonts w:ascii="Arial" w:eastAsia="Calibri" w:hAnsi="Arial"/>
      <w:sz w:val="21"/>
      <w:szCs w:val="21"/>
      <w:lang w:eastAsia="en-US"/>
    </w:rPr>
  </w:style>
  <w:style w:type="paragraph" w:styleId="BodyText2">
    <w:name w:val="Body Text 2"/>
    <w:basedOn w:val="Normal"/>
    <w:link w:val="BodyText2Char"/>
    <w:rsid w:val="0096640A"/>
    <w:pPr>
      <w:spacing w:after="120" w:line="480" w:lineRule="auto"/>
    </w:pPr>
    <w:rPr>
      <w:sz w:val="20"/>
      <w:szCs w:val="20"/>
    </w:rPr>
  </w:style>
  <w:style w:type="character" w:customStyle="1" w:styleId="BodyText2Char">
    <w:name w:val="Body Text 2 Char"/>
    <w:basedOn w:val="DefaultParagraphFont"/>
    <w:link w:val="BodyText2"/>
    <w:rsid w:val="0096640A"/>
    <w:rPr>
      <w:rFonts w:ascii="Times New Roman" w:eastAsia="Times New Roman" w:hAnsi="Times New Roman"/>
      <w:lang w:val="en-US" w:eastAsia="en-US"/>
    </w:rPr>
  </w:style>
  <w:style w:type="character" w:customStyle="1" w:styleId="Heading5Char">
    <w:name w:val="Heading 5 Char"/>
    <w:basedOn w:val="DefaultParagraphFont"/>
    <w:link w:val="Heading5"/>
    <w:rsid w:val="00A277A6"/>
    <w:rPr>
      <w:rFonts w:ascii="Times New Roman" w:hAnsi="Times New Roman"/>
      <w:bCs/>
      <w:iCs/>
      <w:sz w:val="26"/>
      <w:szCs w:val="26"/>
      <w:lang w:eastAsia="zh-CN"/>
    </w:rPr>
  </w:style>
  <w:style w:type="character" w:styleId="CommentReference">
    <w:name w:val="annotation reference"/>
    <w:basedOn w:val="DefaultParagraphFont"/>
    <w:semiHidden/>
    <w:rsid w:val="00A277A6"/>
    <w:rPr>
      <w:sz w:val="16"/>
      <w:szCs w:val="16"/>
    </w:rPr>
  </w:style>
  <w:style w:type="paragraph" w:styleId="CommentText">
    <w:name w:val="annotation text"/>
    <w:basedOn w:val="Normal"/>
    <w:link w:val="CommentTextChar"/>
    <w:rsid w:val="00A277A6"/>
    <w:rPr>
      <w:sz w:val="20"/>
      <w:szCs w:val="20"/>
    </w:rPr>
  </w:style>
  <w:style w:type="character" w:customStyle="1" w:styleId="CommentTextChar">
    <w:name w:val="Comment Text Char"/>
    <w:basedOn w:val="DefaultParagraphFont"/>
    <w:link w:val="CommentText"/>
    <w:rsid w:val="00A277A6"/>
    <w:rPr>
      <w:rFonts w:ascii="Times New Roman" w:eastAsia="Times New Roman" w:hAnsi="Times New Roman"/>
      <w:lang w:val="en-US" w:eastAsia="en-US"/>
    </w:rPr>
  </w:style>
  <w:style w:type="paragraph" w:customStyle="1" w:styleId="DefaultParagraphFontParaCharCharChar">
    <w:name w:val="Default Paragraph Font Para Char Char Char"/>
    <w:basedOn w:val="Normal"/>
    <w:rsid w:val="00A277A6"/>
    <w:pPr>
      <w:spacing w:after="160" w:line="240" w:lineRule="exact"/>
    </w:pPr>
    <w:rPr>
      <w:rFonts w:ascii="Verdana" w:hAnsi="Verdana"/>
      <w:sz w:val="20"/>
      <w:szCs w:val="20"/>
    </w:rPr>
  </w:style>
  <w:style w:type="paragraph" w:customStyle="1" w:styleId="SLName">
    <w:name w:val="SLName"/>
    <w:basedOn w:val="Normal"/>
    <w:rsid w:val="001562A0"/>
    <w:pPr>
      <w:keepNext/>
      <w:keepLines/>
      <w:spacing w:before="120"/>
      <w:jc w:val="center"/>
    </w:pPr>
    <w:rPr>
      <w:caps/>
      <w:sz w:val="26"/>
      <w:szCs w:val="20"/>
      <w:lang w:val="en-GB"/>
    </w:rPr>
  </w:style>
  <w:style w:type="paragraph" w:styleId="CommentSubject">
    <w:name w:val="annotation subject"/>
    <w:basedOn w:val="CommentText"/>
    <w:next w:val="CommentText"/>
    <w:link w:val="CommentSubjectChar"/>
    <w:uiPriority w:val="99"/>
    <w:semiHidden/>
    <w:unhideWhenUsed/>
    <w:rsid w:val="001562A0"/>
    <w:rPr>
      <w:b/>
      <w:bCs/>
    </w:rPr>
  </w:style>
  <w:style w:type="character" w:customStyle="1" w:styleId="CommentSubjectChar">
    <w:name w:val="Comment Subject Char"/>
    <w:basedOn w:val="CommentTextChar"/>
    <w:link w:val="CommentSubject"/>
    <w:uiPriority w:val="99"/>
    <w:semiHidden/>
    <w:rsid w:val="001562A0"/>
    <w:rPr>
      <w:rFonts w:ascii="Times New Roman" w:eastAsia="Times New Roman" w:hAnsi="Times New Roman"/>
      <w:b/>
      <w:bCs/>
      <w:lang w:val="en-US" w:eastAsia="en-US"/>
    </w:rPr>
  </w:style>
  <w:style w:type="character" w:styleId="Hyperlink">
    <w:name w:val="Hyperlink"/>
    <w:basedOn w:val="DefaultParagraphFont"/>
    <w:uiPriority w:val="99"/>
    <w:unhideWhenUsed/>
    <w:rsid w:val="002114C1"/>
    <w:rPr>
      <w:color w:val="0000FF"/>
      <w:u w:val="single"/>
    </w:rPr>
  </w:style>
  <w:style w:type="character" w:customStyle="1" w:styleId="Heading2Char">
    <w:name w:val="Heading 2 Char"/>
    <w:basedOn w:val="DefaultParagraphFont"/>
    <w:link w:val="Heading2"/>
    <w:rsid w:val="00121C31"/>
    <w:rPr>
      <w:rFonts w:ascii="Cambria" w:eastAsia="SimSun" w:hAnsi="Cambria" w:cs="Times New Roman"/>
      <w:b/>
      <w:bCs/>
      <w:i/>
      <w:iCs/>
      <w:sz w:val="28"/>
      <w:szCs w:val="28"/>
      <w:lang w:val="en-US" w:eastAsia="en-US"/>
    </w:rPr>
  </w:style>
  <w:style w:type="character" w:customStyle="1" w:styleId="Heading1Char">
    <w:name w:val="Heading 1 Char"/>
    <w:basedOn w:val="DefaultParagraphFont"/>
    <w:link w:val="Heading1"/>
    <w:rsid w:val="009B17D0"/>
    <w:rPr>
      <w:rFonts w:ascii="Cambria" w:eastAsia="SimSun" w:hAnsi="Cambria" w:cs="Times New Roman"/>
      <w:b/>
      <w:bCs/>
      <w:kern w:val="32"/>
      <w:sz w:val="32"/>
      <w:szCs w:val="32"/>
      <w:lang w:val="en-US" w:eastAsia="en-US"/>
    </w:rPr>
  </w:style>
  <w:style w:type="character" w:customStyle="1" w:styleId="Heading8Char">
    <w:name w:val="Heading 8 Char"/>
    <w:basedOn w:val="DefaultParagraphFont"/>
    <w:link w:val="Heading8"/>
    <w:rsid w:val="00796F41"/>
    <w:rPr>
      <w:rFonts w:ascii="Calibri" w:eastAsia="SimSun" w:hAnsi="Calibri" w:cs="Times New Roman"/>
      <w:i/>
      <w:iCs/>
      <w:sz w:val="24"/>
      <w:szCs w:val="24"/>
      <w:lang w:val="en-US" w:eastAsia="en-US"/>
    </w:rPr>
  </w:style>
  <w:style w:type="character" w:customStyle="1" w:styleId="Heading3Char">
    <w:name w:val="Heading 3 Char"/>
    <w:basedOn w:val="DefaultParagraphFont"/>
    <w:link w:val="Heading3"/>
    <w:rsid w:val="00086B65"/>
    <w:rPr>
      <w:rFonts w:ascii="Cambria" w:eastAsia="SimSun" w:hAnsi="Cambria" w:cs="Times New Roman"/>
      <w:b/>
      <w:bCs/>
      <w:sz w:val="26"/>
      <w:szCs w:val="26"/>
      <w:lang w:val="en-US" w:eastAsia="en-US"/>
    </w:rPr>
  </w:style>
  <w:style w:type="paragraph" w:styleId="NormalWeb">
    <w:name w:val="Normal (Web)"/>
    <w:basedOn w:val="Normal"/>
    <w:uiPriority w:val="99"/>
    <w:unhideWhenUsed/>
    <w:rsid w:val="0086438F"/>
    <w:pPr>
      <w:spacing w:before="100" w:beforeAutospacing="1" w:after="100" w:afterAutospacing="1"/>
    </w:pPr>
    <w:rPr>
      <w:rFonts w:eastAsia="Calibri"/>
      <w:lang w:val="en-SG" w:eastAsia="en-SG"/>
    </w:rPr>
  </w:style>
  <w:style w:type="paragraph" w:customStyle="1" w:styleId="Default">
    <w:name w:val="Default"/>
    <w:rsid w:val="006213C0"/>
    <w:pPr>
      <w:autoSpaceDE w:val="0"/>
      <w:autoSpaceDN w:val="0"/>
      <w:adjustRightInd w:val="0"/>
    </w:pPr>
    <w:rPr>
      <w:rFonts w:ascii="Times New Roman" w:hAnsi="Times New Roman"/>
      <w:color w:val="000000"/>
      <w:sz w:val="24"/>
      <w:szCs w:val="24"/>
      <w:lang w:val="en-GB" w:eastAsia="zh-CN"/>
    </w:rPr>
  </w:style>
  <w:style w:type="character" w:customStyle="1" w:styleId="ListParagraphChar">
    <w:name w:val="List Paragraph Char"/>
    <w:aliases w:val="Noise heading Char,RUS List Char,Credits Char,Number abc Char,a List Paragraph Char,Cell bullets Char,Text Char,123 List Paragraph Char,List Paragraph1 Char,Recommendation Char,List Paragraph11 Char,List Paragraph111 Char,L Char"/>
    <w:basedOn w:val="DefaultParagraphFont"/>
    <w:link w:val="ListParagraph"/>
    <w:uiPriority w:val="34"/>
    <w:qFormat/>
    <w:locked/>
    <w:rsid w:val="00F74065"/>
    <w:rPr>
      <w:rFonts w:ascii="Times New Roman" w:eastAsia="Times New Roman" w:hAnsi="Times New Roman"/>
      <w:lang w:val="en-US" w:eastAsia="en-US"/>
    </w:rPr>
  </w:style>
  <w:style w:type="paragraph" w:styleId="Revision">
    <w:name w:val="Revision"/>
    <w:hidden/>
    <w:uiPriority w:val="99"/>
    <w:semiHidden/>
    <w:rsid w:val="009F65A1"/>
    <w:rPr>
      <w:rFonts w:ascii="Times New Roman" w:eastAsia="Times New Roman" w:hAnsi="Times New Roman"/>
      <w:sz w:val="24"/>
      <w:szCs w:val="24"/>
      <w:lang w:val="en-US" w:eastAsia="en-US"/>
    </w:rPr>
  </w:style>
  <w:style w:type="paragraph" w:styleId="Header">
    <w:name w:val="header"/>
    <w:basedOn w:val="Normal"/>
    <w:link w:val="HeaderChar"/>
    <w:uiPriority w:val="99"/>
    <w:semiHidden/>
    <w:unhideWhenUsed/>
    <w:rsid w:val="0006698B"/>
    <w:pPr>
      <w:tabs>
        <w:tab w:val="center" w:pos="4513"/>
        <w:tab w:val="right" w:pos="9026"/>
      </w:tabs>
    </w:pPr>
  </w:style>
  <w:style w:type="character" w:customStyle="1" w:styleId="HeaderChar">
    <w:name w:val="Header Char"/>
    <w:basedOn w:val="DefaultParagraphFont"/>
    <w:link w:val="Header"/>
    <w:uiPriority w:val="99"/>
    <w:semiHidden/>
    <w:rsid w:val="0006698B"/>
    <w:rPr>
      <w:rFonts w:ascii="Times New Roman" w:eastAsia="Times New Roman" w:hAnsi="Times New Roman"/>
      <w:sz w:val="24"/>
      <w:szCs w:val="24"/>
      <w:lang w:val="en-US" w:eastAsia="en-US"/>
    </w:rPr>
  </w:style>
  <w:style w:type="character" w:styleId="Emphasis">
    <w:name w:val="Emphasis"/>
    <w:basedOn w:val="DefaultParagraphFont"/>
    <w:uiPriority w:val="20"/>
    <w:qFormat/>
    <w:rsid w:val="00821292"/>
    <w:rPr>
      <w:i/>
      <w:iCs/>
    </w:rPr>
  </w:style>
  <w:style w:type="paragraph" w:customStyle="1" w:styleId="PMAns">
    <w:name w:val="PM Ans"/>
    <w:basedOn w:val="Normal"/>
    <w:link w:val="PMAnsChar"/>
    <w:qFormat/>
    <w:rsid w:val="00D32ECA"/>
    <w:pPr>
      <w:spacing w:before="120" w:after="240" w:line="276" w:lineRule="auto"/>
      <w:jc w:val="both"/>
    </w:pPr>
    <w:rPr>
      <w:rFonts w:eastAsia="SimSun"/>
      <w:sz w:val="26"/>
      <w:szCs w:val="26"/>
    </w:rPr>
  </w:style>
  <w:style w:type="character" w:customStyle="1" w:styleId="PMAnsChar">
    <w:name w:val="PM Ans Char"/>
    <w:basedOn w:val="DefaultParagraphFont"/>
    <w:link w:val="PMAns"/>
    <w:rsid w:val="00D32ECA"/>
    <w:rPr>
      <w:rFonts w:ascii="Times New Roman" w:hAnsi="Times New Roman"/>
      <w:sz w:val="26"/>
      <w:szCs w:val="26"/>
      <w:lang w:val="en-US" w:eastAsia="en-US"/>
    </w:rPr>
  </w:style>
  <w:style w:type="paragraph" w:customStyle="1" w:styleId="ContentinTable">
    <w:name w:val="Content in Table"/>
    <w:basedOn w:val="Normal"/>
    <w:uiPriority w:val="99"/>
    <w:qFormat/>
    <w:rsid w:val="00F453D9"/>
    <w:pPr>
      <w:autoSpaceDE w:val="0"/>
      <w:autoSpaceDN w:val="0"/>
      <w:adjustRightInd w:val="0"/>
      <w:spacing w:before="120" w:after="240" w:line="276" w:lineRule="auto"/>
      <w:ind w:right="57"/>
      <w:jc w:val="both"/>
    </w:pPr>
    <w:rPr>
      <w:rFonts w:eastAsia="Calibri"/>
      <w:sz w:val="28"/>
      <w:lang w:val="en-SG"/>
    </w:rPr>
  </w:style>
  <w:style w:type="character" w:customStyle="1" w:styleId="s11">
    <w:name w:val="s11"/>
    <w:basedOn w:val="DefaultParagraphFont"/>
    <w:rsid w:val="00B10C9B"/>
  </w:style>
  <w:style w:type="paragraph" w:customStyle="1" w:styleId="wordsection1">
    <w:name w:val="wordsection1"/>
    <w:basedOn w:val="Normal"/>
    <w:link w:val="wordsection1Char"/>
    <w:uiPriority w:val="99"/>
    <w:rsid w:val="00A765F2"/>
    <w:rPr>
      <w:rFonts w:eastAsiaTheme="minorHAnsi"/>
      <w:lang w:val="en-SG" w:eastAsia="ja-JP"/>
    </w:rPr>
  </w:style>
  <w:style w:type="character" w:customStyle="1" w:styleId="wordsection1Char">
    <w:name w:val="wordsection1 Char"/>
    <w:basedOn w:val="DefaultParagraphFont"/>
    <w:link w:val="wordsection1"/>
    <w:uiPriority w:val="99"/>
    <w:locked/>
    <w:rsid w:val="00A765F2"/>
    <w:rPr>
      <w:rFonts w:ascii="Times New Roman" w:eastAsiaTheme="minorHAnsi" w:hAnsi="Times New Roman"/>
      <w:sz w:val="24"/>
      <w:szCs w:val="24"/>
      <w:lang w:eastAsia="ja-JP"/>
    </w:rPr>
  </w:style>
  <w:style w:type="paragraph" w:customStyle="1" w:styleId="cTextList1">
    <w:name w:val="c. Text List 1"/>
    <w:basedOn w:val="Normal"/>
    <w:uiPriority w:val="99"/>
    <w:qFormat/>
    <w:rsid w:val="00B437AB"/>
    <w:pPr>
      <w:numPr>
        <w:numId w:val="44"/>
      </w:numPr>
      <w:tabs>
        <w:tab w:val="num" w:pos="360"/>
      </w:tabs>
      <w:spacing w:before="240"/>
      <w:ind w:left="0" w:firstLine="0"/>
      <w:jc w:val="both"/>
    </w:pPr>
    <w:rPr>
      <w:rFonts w:ascii="Arial" w:eastAsiaTheme="minorHAnsi" w:hAnsi="Arial" w:cs="Arial"/>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44750">
      <w:bodyDiv w:val="1"/>
      <w:marLeft w:val="0"/>
      <w:marRight w:val="0"/>
      <w:marTop w:val="0"/>
      <w:marBottom w:val="0"/>
      <w:divBdr>
        <w:top w:val="none" w:sz="0" w:space="0" w:color="auto"/>
        <w:left w:val="none" w:sz="0" w:space="0" w:color="auto"/>
        <w:bottom w:val="none" w:sz="0" w:space="0" w:color="auto"/>
        <w:right w:val="none" w:sz="0" w:space="0" w:color="auto"/>
      </w:divBdr>
    </w:div>
    <w:div w:id="264312599">
      <w:bodyDiv w:val="1"/>
      <w:marLeft w:val="0"/>
      <w:marRight w:val="0"/>
      <w:marTop w:val="0"/>
      <w:marBottom w:val="0"/>
      <w:divBdr>
        <w:top w:val="none" w:sz="0" w:space="0" w:color="auto"/>
        <w:left w:val="none" w:sz="0" w:space="0" w:color="auto"/>
        <w:bottom w:val="none" w:sz="0" w:space="0" w:color="auto"/>
        <w:right w:val="none" w:sz="0" w:space="0" w:color="auto"/>
      </w:divBdr>
    </w:div>
    <w:div w:id="334503001">
      <w:bodyDiv w:val="1"/>
      <w:marLeft w:val="0"/>
      <w:marRight w:val="0"/>
      <w:marTop w:val="0"/>
      <w:marBottom w:val="0"/>
      <w:divBdr>
        <w:top w:val="none" w:sz="0" w:space="0" w:color="auto"/>
        <w:left w:val="none" w:sz="0" w:space="0" w:color="auto"/>
        <w:bottom w:val="none" w:sz="0" w:space="0" w:color="auto"/>
        <w:right w:val="none" w:sz="0" w:space="0" w:color="auto"/>
      </w:divBdr>
    </w:div>
    <w:div w:id="376511205">
      <w:bodyDiv w:val="1"/>
      <w:marLeft w:val="0"/>
      <w:marRight w:val="0"/>
      <w:marTop w:val="0"/>
      <w:marBottom w:val="0"/>
      <w:divBdr>
        <w:top w:val="none" w:sz="0" w:space="0" w:color="auto"/>
        <w:left w:val="none" w:sz="0" w:space="0" w:color="auto"/>
        <w:bottom w:val="none" w:sz="0" w:space="0" w:color="auto"/>
        <w:right w:val="none" w:sz="0" w:space="0" w:color="auto"/>
      </w:divBdr>
      <w:divsChild>
        <w:div w:id="144511178">
          <w:marLeft w:val="0"/>
          <w:marRight w:val="0"/>
          <w:marTop w:val="0"/>
          <w:marBottom w:val="0"/>
          <w:divBdr>
            <w:top w:val="none" w:sz="0" w:space="0" w:color="auto"/>
            <w:left w:val="none" w:sz="0" w:space="0" w:color="auto"/>
            <w:bottom w:val="none" w:sz="0" w:space="0" w:color="auto"/>
            <w:right w:val="none" w:sz="0" w:space="0" w:color="auto"/>
          </w:divBdr>
          <w:divsChild>
            <w:div w:id="3840554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594095318">
      <w:bodyDiv w:val="1"/>
      <w:marLeft w:val="0"/>
      <w:marRight w:val="0"/>
      <w:marTop w:val="0"/>
      <w:marBottom w:val="0"/>
      <w:divBdr>
        <w:top w:val="none" w:sz="0" w:space="0" w:color="auto"/>
        <w:left w:val="none" w:sz="0" w:space="0" w:color="auto"/>
        <w:bottom w:val="none" w:sz="0" w:space="0" w:color="auto"/>
        <w:right w:val="none" w:sz="0" w:space="0" w:color="auto"/>
      </w:divBdr>
    </w:div>
    <w:div w:id="823811632">
      <w:bodyDiv w:val="1"/>
      <w:marLeft w:val="0"/>
      <w:marRight w:val="0"/>
      <w:marTop w:val="0"/>
      <w:marBottom w:val="0"/>
      <w:divBdr>
        <w:top w:val="none" w:sz="0" w:space="0" w:color="auto"/>
        <w:left w:val="none" w:sz="0" w:space="0" w:color="auto"/>
        <w:bottom w:val="none" w:sz="0" w:space="0" w:color="auto"/>
        <w:right w:val="none" w:sz="0" w:space="0" w:color="auto"/>
      </w:divBdr>
    </w:div>
    <w:div w:id="921571491">
      <w:bodyDiv w:val="1"/>
      <w:marLeft w:val="0"/>
      <w:marRight w:val="0"/>
      <w:marTop w:val="0"/>
      <w:marBottom w:val="0"/>
      <w:divBdr>
        <w:top w:val="none" w:sz="0" w:space="0" w:color="auto"/>
        <w:left w:val="none" w:sz="0" w:space="0" w:color="auto"/>
        <w:bottom w:val="none" w:sz="0" w:space="0" w:color="auto"/>
        <w:right w:val="none" w:sz="0" w:space="0" w:color="auto"/>
      </w:divBdr>
    </w:div>
    <w:div w:id="1306471806">
      <w:bodyDiv w:val="1"/>
      <w:marLeft w:val="0"/>
      <w:marRight w:val="0"/>
      <w:marTop w:val="0"/>
      <w:marBottom w:val="0"/>
      <w:divBdr>
        <w:top w:val="none" w:sz="0" w:space="0" w:color="auto"/>
        <w:left w:val="none" w:sz="0" w:space="0" w:color="auto"/>
        <w:bottom w:val="none" w:sz="0" w:space="0" w:color="auto"/>
        <w:right w:val="none" w:sz="0" w:space="0" w:color="auto"/>
      </w:divBdr>
    </w:div>
    <w:div w:id="1408068584">
      <w:bodyDiv w:val="1"/>
      <w:marLeft w:val="0"/>
      <w:marRight w:val="0"/>
      <w:marTop w:val="0"/>
      <w:marBottom w:val="0"/>
      <w:divBdr>
        <w:top w:val="none" w:sz="0" w:space="0" w:color="auto"/>
        <w:left w:val="none" w:sz="0" w:space="0" w:color="auto"/>
        <w:bottom w:val="none" w:sz="0" w:space="0" w:color="auto"/>
        <w:right w:val="none" w:sz="0" w:space="0" w:color="auto"/>
      </w:divBdr>
    </w:div>
    <w:div w:id="1621381346">
      <w:bodyDiv w:val="1"/>
      <w:marLeft w:val="0"/>
      <w:marRight w:val="0"/>
      <w:marTop w:val="0"/>
      <w:marBottom w:val="0"/>
      <w:divBdr>
        <w:top w:val="none" w:sz="0" w:space="0" w:color="auto"/>
        <w:left w:val="none" w:sz="0" w:space="0" w:color="auto"/>
        <w:bottom w:val="none" w:sz="0" w:space="0" w:color="auto"/>
        <w:right w:val="none" w:sz="0" w:space="0" w:color="auto"/>
      </w:divBdr>
    </w:div>
    <w:div w:id="1662466150">
      <w:bodyDiv w:val="1"/>
      <w:marLeft w:val="0"/>
      <w:marRight w:val="0"/>
      <w:marTop w:val="0"/>
      <w:marBottom w:val="0"/>
      <w:divBdr>
        <w:top w:val="none" w:sz="0" w:space="0" w:color="auto"/>
        <w:left w:val="none" w:sz="0" w:space="0" w:color="auto"/>
        <w:bottom w:val="none" w:sz="0" w:space="0" w:color="auto"/>
        <w:right w:val="none" w:sz="0" w:space="0" w:color="auto"/>
      </w:divBdr>
    </w:div>
    <w:div w:id="1699617517">
      <w:bodyDiv w:val="1"/>
      <w:marLeft w:val="0"/>
      <w:marRight w:val="0"/>
      <w:marTop w:val="0"/>
      <w:marBottom w:val="0"/>
      <w:divBdr>
        <w:top w:val="none" w:sz="0" w:space="0" w:color="auto"/>
        <w:left w:val="none" w:sz="0" w:space="0" w:color="auto"/>
        <w:bottom w:val="none" w:sz="0" w:space="0" w:color="auto"/>
        <w:right w:val="none" w:sz="0" w:space="0" w:color="auto"/>
      </w:divBdr>
    </w:div>
    <w:div w:id="1812288720">
      <w:bodyDiv w:val="1"/>
      <w:marLeft w:val="0"/>
      <w:marRight w:val="0"/>
      <w:marTop w:val="0"/>
      <w:marBottom w:val="0"/>
      <w:divBdr>
        <w:top w:val="none" w:sz="0" w:space="0" w:color="auto"/>
        <w:left w:val="none" w:sz="0" w:space="0" w:color="auto"/>
        <w:bottom w:val="none" w:sz="0" w:space="0" w:color="auto"/>
        <w:right w:val="none" w:sz="0" w:space="0" w:color="auto"/>
      </w:divBdr>
    </w:div>
    <w:div w:id="21387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FDAFEC6B66164787F271A73119E70D" ma:contentTypeVersion="1" ma:contentTypeDescription="Create a new document." ma:contentTypeScope="" ma:versionID="8fe52933b3ebacac5f31de0a618ccd0c">
  <xsd:schema xmlns:xsd="http://www.w3.org/2001/XMLSchema" xmlns:xs="http://www.w3.org/2001/XMLSchema" xmlns:p="http://schemas.microsoft.com/office/2006/metadata/properties" xmlns:ns2="0e9ac558-c7df-44df-83a9-fb0c941bca6b" targetNamespace="http://schemas.microsoft.com/office/2006/metadata/properties" ma:root="true" ma:fieldsID="7c863b536afafc7ad2c2259c6a9ff8f6" ns2:_="">
    <xsd:import namespace="0e9ac558-c7df-44df-83a9-fb0c941bca6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ac558-c7df-44df-83a9-fb0c941bca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0e9ac558-c7df-44df-83a9-fb0c941bca6b">
      <UserInfo>
        <DisplayName>Pei Lin CHAN (MOF)</DisplayName>
        <AccountId>562</AccountId>
        <AccountType/>
      </UserInfo>
      <UserInfo>
        <DisplayName>Kenny YEOH (MOF)</DisplayName>
        <AccountId>563</AccountId>
        <AccountType/>
      </UserInfo>
      <UserInfo>
        <DisplayName>Si Ying TAN (MOF)</DisplayName>
        <AccountId>447</AccountId>
        <AccountType/>
      </UserInfo>
      <UserInfo>
        <DisplayName>Jasper WONG (MOF)</DisplayName>
        <AccountId>560</AccountId>
        <AccountType/>
      </UserInfo>
      <UserInfo>
        <DisplayName>Genevieve LEE (MOF)</DisplayName>
        <AccountId>561</AccountId>
        <AccountType/>
      </UserInfo>
      <UserInfo>
        <DisplayName>Sandra YONG (MOF)</DisplayName>
        <AccountId>608</AccountId>
        <AccountType/>
      </UserInfo>
      <UserInfo>
        <DisplayName>mofctg</DisplayName>
        <AccountId>668</AccountId>
        <AccountType/>
      </UserInfo>
      <UserInfo>
        <DisplayName>Farah ABDUL RAHIM (MOF)</DisplayName>
        <AccountId>670</AccountId>
        <AccountType/>
      </UserInfo>
      <UserInfo>
        <DisplayName>Doreen TAN (MOF)</DisplayName>
        <AccountId>511</AccountId>
        <AccountType/>
      </UserInfo>
      <UserInfo>
        <DisplayName>Louis NG (MOF)</DisplayName>
        <AccountId>602</AccountId>
        <AccountType/>
      </UserInfo>
      <UserInfo>
        <DisplayName>Wendy LEO (MOF)</DisplayName>
        <AccountId>573</AccountId>
        <AccountType/>
      </UserInfo>
      <UserInfo>
        <DisplayName>Yuxian HONG (MOF)</DisplayName>
        <AccountId>605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C5383-428D-46AF-BE61-2E1BD71E3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ac558-c7df-44df-83a9-fb0c941bc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CF40A-BFDB-417E-B8A3-7F3F3409F7C6}">
  <ds:schemaRefs>
    <ds:schemaRef ds:uri="http://schemas.microsoft.com/sharepoint/v3/contenttype/forms"/>
  </ds:schemaRefs>
</ds:datastoreItem>
</file>

<file path=customXml/itemProps3.xml><?xml version="1.0" encoding="utf-8"?>
<ds:datastoreItem xmlns:ds="http://schemas.openxmlformats.org/officeDocument/2006/customXml" ds:itemID="{888614FD-4BD7-46E9-AF9F-8F330D6EEC37}">
  <ds:schemaRefs>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0e9ac558-c7df-44df-83a9-fb0c941bca6b"/>
    <ds:schemaRef ds:uri="http://purl.org/dc/elements/1.1/"/>
  </ds:schemaRefs>
</ds:datastoreItem>
</file>

<file path=customXml/itemProps4.xml><?xml version="1.0" encoding="utf-8"?>
<ds:datastoreItem xmlns:ds="http://schemas.openxmlformats.org/officeDocument/2006/customXml" ds:itemID="{C62E244A-0F09-4597-A330-A4C841DF2F2B}">
  <ds:schemaRefs>
    <ds:schemaRef ds:uri="http://schemas.openxmlformats.org/officeDocument/2006/bibliography"/>
  </ds:schemaRefs>
</ds:datastoreItem>
</file>

<file path=customXml/itemProps5.xml><?xml version="1.0" encoding="utf-8"?>
<ds:datastoreItem xmlns:ds="http://schemas.openxmlformats.org/officeDocument/2006/customXml" ds:itemID="{59772D06-B4C1-4E02-B523-032CA36EC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 Ping TAN (MOF)</dc:creator>
  <cp:lastModifiedBy>Li Ying TAN (MOF)</cp:lastModifiedBy>
  <cp:revision>2</cp:revision>
  <cp:lastPrinted>2015-06-17T07:20:00Z</cp:lastPrinted>
  <dcterms:created xsi:type="dcterms:W3CDTF">2021-06-10T06:12:00Z</dcterms:created>
  <dcterms:modified xsi:type="dcterms:W3CDTF">2021-06-10T06:12:00Z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0x01010007FDAFEC6B66164787F271A73119E70D</vt:lpwstr>
  </property>
  <property fmtid="{D5CDD505-2E9C-101B-9397-08002B2CF9AE}" pid="3" name="MSIP_Label_3f9331f7-95a2-472a-92bc-d73219eb516b_Enabled">
    <vt:lpwstr>True</vt:lpwstr>
  </property>
  <property fmtid="{D5CDD505-2E9C-101B-9397-08002B2CF9AE}" pid="4" name="MSIP_Label_3f9331f7-95a2-472a-92bc-d73219eb516b_SiteId">
    <vt:lpwstr>0b11c524-9a1c-4e1b-84cb-6336aefc2243</vt:lpwstr>
  </property>
  <property fmtid="{D5CDD505-2E9C-101B-9397-08002B2CF9AE}" pid="5" name="MSIP_Label_3f9331f7-95a2-472a-92bc-d73219eb516b_Owner">
    <vt:lpwstr>TAN_Li_Ying@mof.gov.sg</vt:lpwstr>
  </property>
  <property fmtid="{D5CDD505-2E9C-101B-9397-08002B2CF9AE}" pid="6" name="MSIP_Label_3f9331f7-95a2-472a-92bc-d73219eb516b_SetDate">
    <vt:lpwstr>2021-05-17T03:30:10.8647642Z</vt:lpwstr>
  </property>
  <property fmtid="{D5CDD505-2E9C-101B-9397-08002B2CF9AE}" pid="7" name="MSIP_Label_3f9331f7-95a2-472a-92bc-d73219eb516b_Name">
    <vt:lpwstr>CONFIDENTIAL</vt:lpwstr>
  </property>
  <property fmtid="{D5CDD505-2E9C-101B-9397-08002B2CF9AE}" pid="8" name="MSIP_Label_3f9331f7-95a2-472a-92bc-d73219eb516b_Application">
    <vt:lpwstr>Microsoft Azure Information Protection</vt:lpwstr>
  </property>
  <property fmtid="{D5CDD505-2E9C-101B-9397-08002B2CF9AE}" pid="9" name="MSIP_Label_3f9331f7-95a2-472a-92bc-d73219eb516b_ActionId">
    <vt:lpwstr>0e827037-3272-42c8-8dfe-c1a694f72d86</vt:lpwstr>
  </property>
  <property fmtid="{D5CDD505-2E9C-101B-9397-08002B2CF9AE}" pid="10" name="MSIP_Label_3f9331f7-95a2-472a-92bc-d73219eb516b_Extended_MSFT_Method">
    <vt:lpwstr>Automatic</vt:lpwstr>
  </property>
  <property fmtid="{D5CDD505-2E9C-101B-9397-08002B2CF9AE}" pid="11" name="MSIP_Label_4f288355-fb4c-44cd-b9ca-40cfc2aee5f8_Enabled">
    <vt:lpwstr>True</vt:lpwstr>
  </property>
  <property fmtid="{D5CDD505-2E9C-101B-9397-08002B2CF9AE}" pid="12" name="MSIP_Label_4f288355-fb4c-44cd-b9ca-40cfc2aee5f8_SiteId">
    <vt:lpwstr>0b11c524-9a1c-4e1b-84cb-6336aefc2243</vt:lpwstr>
  </property>
  <property fmtid="{D5CDD505-2E9C-101B-9397-08002B2CF9AE}" pid="13" name="MSIP_Label_4f288355-fb4c-44cd-b9ca-40cfc2aee5f8_Owner">
    <vt:lpwstr>TAN_Li_Ying@mof.gov.sg</vt:lpwstr>
  </property>
  <property fmtid="{D5CDD505-2E9C-101B-9397-08002B2CF9AE}" pid="14" name="MSIP_Label_4f288355-fb4c-44cd-b9ca-40cfc2aee5f8_SetDate">
    <vt:lpwstr>2021-05-17T03:30:10.8647642Z</vt:lpwstr>
  </property>
  <property fmtid="{D5CDD505-2E9C-101B-9397-08002B2CF9AE}" pid="15" name="MSIP_Label_4f288355-fb4c-44cd-b9ca-40cfc2aee5f8_Name">
    <vt:lpwstr>NON-SENSITIVE</vt:lpwstr>
  </property>
  <property fmtid="{D5CDD505-2E9C-101B-9397-08002B2CF9AE}" pid="16" name="MSIP_Label_4f288355-fb4c-44cd-b9ca-40cfc2aee5f8_Application">
    <vt:lpwstr>Microsoft Azure Information Protection</vt:lpwstr>
  </property>
  <property fmtid="{D5CDD505-2E9C-101B-9397-08002B2CF9AE}" pid="17" name="MSIP_Label_4f288355-fb4c-44cd-b9ca-40cfc2aee5f8_ActionId">
    <vt:lpwstr>0e827037-3272-42c8-8dfe-c1a694f72d86</vt:lpwstr>
  </property>
  <property fmtid="{D5CDD505-2E9C-101B-9397-08002B2CF9AE}" pid="18" name="MSIP_Label_4f288355-fb4c-44cd-b9ca-40cfc2aee5f8_Parent">
    <vt:lpwstr>3f9331f7-95a2-472a-92bc-d73219eb516b</vt:lpwstr>
  </property>
  <property fmtid="{D5CDD505-2E9C-101B-9397-08002B2CF9AE}" pid="19" name="MSIP_Label_4f288355-fb4c-44cd-b9ca-40cfc2aee5f8_Extended_MSFT_Method">
    <vt:lpwstr>Automatic</vt:lpwstr>
  </property>
  <property fmtid="{D5CDD505-2E9C-101B-9397-08002B2CF9AE}" pid="20" name="Sensitivity">
    <vt:lpwstr>CONFIDENTIAL NON-SENSITIVE</vt:lpwstr>
  </property>
</Properties>
</file>