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D9" w:rsidRPr="00E5534D" w:rsidRDefault="00D135D9" w:rsidP="00D135D9">
      <w:pPr>
        <w:pStyle w:val="NoSpacing"/>
        <w:jc w:val="right"/>
        <w:rPr>
          <w:szCs w:val="26"/>
          <w:u w:val="single"/>
        </w:rPr>
      </w:pPr>
      <w:r w:rsidRPr="00E5534D">
        <w:rPr>
          <w:szCs w:val="26"/>
          <w:u w:val="single"/>
        </w:rPr>
        <w:t>Annex</w:t>
      </w:r>
      <w:r w:rsidR="00D302A6" w:rsidRPr="00E5534D">
        <w:rPr>
          <w:szCs w:val="26"/>
          <w:u w:val="single"/>
        </w:rPr>
        <w:t xml:space="preserve"> </w:t>
      </w:r>
      <w:r w:rsidR="00B64925">
        <w:rPr>
          <w:szCs w:val="26"/>
          <w:u w:val="single"/>
        </w:rPr>
        <w:t>C</w:t>
      </w:r>
    </w:p>
    <w:p w:rsidR="00644B6C" w:rsidRPr="00126454" w:rsidRDefault="00644B6C" w:rsidP="00EE066B">
      <w:pPr>
        <w:pStyle w:val="NoSpacing"/>
        <w:tabs>
          <w:tab w:val="left" w:pos="3792"/>
        </w:tabs>
        <w:ind w:right="130"/>
        <w:jc w:val="center"/>
        <w:rPr>
          <w:szCs w:val="26"/>
        </w:rPr>
      </w:pPr>
    </w:p>
    <w:p w:rsidR="00276CA1" w:rsidRPr="00EE066B" w:rsidRDefault="00944C26" w:rsidP="00EE066B">
      <w:pPr>
        <w:pStyle w:val="NoSpacing"/>
        <w:tabs>
          <w:tab w:val="left" w:pos="3792"/>
        </w:tabs>
        <w:ind w:right="130"/>
        <w:jc w:val="center"/>
        <w:rPr>
          <w:b/>
          <w:szCs w:val="26"/>
          <w:u w:val="single"/>
        </w:rPr>
      </w:pPr>
      <w:r w:rsidRPr="00EE066B">
        <w:rPr>
          <w:b/>
          <w:szCs w:val="26"/>
          <w:u w:val="single"/>
        </w:rPr>
        <w:t xml:space="preserve">TABLE OF </w:t>
      </w:r>
      <w:r w:rsidR="002E4D44" w:rsidRPr="00EE066B">
        <w:rPr>
          <w:b/>
          <w:szCs w:val="26"/>
          <w:u w:val="single"/>
        </w:rPr>
        <w:t xml:space="preserve">PROPOSED CHANGES </w:t>
      </w:r>
      <w:r w:rsidRPr="00EE066B">
        <w:rPr>
          <w:b/>
          <w:szCs w:val="26"/>
          <w:u w:val="single"/>
        </w:rPr>
        <w:t>IN PART 2 OF THE DRAFT COMPANIES (AMENDMENT) BILL</w:t>
      </w:r>
    </w:p>
    <w:p w:rsidR="001946C4" w:rsidRPr="001946C4" w:rsidRDefault="001946C4" w:rsidP="002E4D44">
      <w:pPr>
        <w:pStyle w:val="NoSpacing"/>
        <w:jc w:val="both"/>
        <w:rPr>
          <w:szCs w:val="26"/>
        </w:rPr>
      </w:pPr>
    </w:p>
    <w:tbl>
      <w:tblPr>
        <w:tblW w:w="1389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6"/>
        <w:gridCol w:w="9"/>
        <w:gridCol w:w="5244"/>
        <w:gridCol w:w="4395"/>
        <w:gridCol w:w="3119"/>
      </w:tblGrid>
      <w:tr w:rsidR="00EE066B" w:rsidRPr="00E5534D" w:rsidTr="00E461EB">
        <w:trPr>
          <w:tblHeader/>
        </w:trPr>
        <w:tc>
          <w:tcPr>
            <w:tcW w:w="1126" w:type="dxa"/>
            <w:shd w:val="clear" w:color="auto" w:fill="D9D9D9" w:themeFill="background1" w:themeFillShade="D9"/>
          </w:tcPr>
          <w:p w:rsidR="00EE066B" w:rsidRPr="00E5534D" w:rsidRDefault="00EE066B" w:rsidP="00FD15E6">
            <w:pPr>
              <w:jc w:val="center"/>
              <w:rPr>
                <w:b/>
                <w:szCs w:val="26"/>
              </w:rPr>
            </w:pPr>
            <w:r>
              <w:rPr>
                <w:b/>
                <w:szCs w:val="26"/>
              </w:rPr>
              <w:t>Clause</w:t>
            </w:r>
          </w:p>
        </w:tc>
        <w:tc>
          <w:tcPr>
            <w:tcW w:w="5253" w:type="dxa"/>
            <w:gridSpan w:val="2"/>
            <w:shd w:val="clear" w:color="auto" w:fill="D9D9D9" w:themeFill="background1" w:themeFillShade="D9"/>
          </w:tcPr>
          <w:p w:rsidR="00EE066B" w:rsidRPr="00E5534D" w:rsidRDefault="00EE066B" w:rsidP="006F30D3">
            <w:pPr>
              <w:jc w:val="center"/>
              <w:rPr>
                <w:b/>
                <w:szCs w:val="26"/>
              </w:rPr>
            </w:pPr>
            <w:r>
              <w:rPr>
                <w:b/>
                <w:szCs w:val="26"/>
              </w:rPr>
              <w:t>Current provision in Companies Act</w:t>
            </w:r>
          </w:p>
        </w:tc>
        <w:tc>
          <w:tcPr>
            <w:tcW w:w="4395" w:type="dxa"/>
            <w:shd w:val="clear" w:color="auto" w:fill="D9D9D9" w:themeFill="background1" w:themeFillShade="D9"/>
          </w:tcPr>
          <w:p w:rsidR="00EE066B" w:rsidRPr="00E5534D" w:rsidRDefault="00EE066B" w:rsidP="00C2643A">
            <w:pPr>
              <w:jc w:val="center"/>
              <w:rPr>
                <w:b/>
                <w:szCs w:val="26"/>
              </w:rPr>
            </w:pPr>
            <w:r>
              <w:rPr>
                <w:b/>
                <w:szCs w:val="26"/>
              </w:rPr>
              <w:t>Proposed Amendments</w:t>
            </w:r>
          </w:p>
        </w:tc>
        <w:tc>
          <w:tcPr>
            <w:tcW w:w="3119" w:type="dxa"/>
            <w:shd w:val="clear" w:color="auto" w:fill="D9D9D9" w:themeFill="background1" w:themeFillShade="D9"/>
          </w:tcPr>
          <w:p w:rsidR="00EE066B" w:rsidRPr="00E5534D" w:rsidRDefault="00EE066B" w:rsidP="00FD15E6">
            <w:pPr>
              <w:jc w:val="center"/>
              <w:rPr>
                <w:b/>
                <w:szCs w:val="26"/>
              </w:rPr>
            </w:pPr>
            <w:r>
              <w:rPr>
                <w:b/>
                <w:szCs w:val="26"/>
              </w:rPr>
              <w:t>Reasons/ Consultation Questions</w:t>
            </w:r>
          </w:p>
        </w:tc>
      </w:tr>
      <w:tr w:rsidR="00EE066B" w:rsidRPr="00E5534D" w:rsidTr="00C42E01">
        <w:tc>
          <w:tcPr>
            <w:tcW w:w="13893" w:type="dxa"/>
            <w:gridSpan w:val="5"/>
            <w:shd w:val="clear" w:color="auto" w:fill="FBD4B4" w:themeFill="accent6" w:themeFillTint="66"/>
          </w:tcPr>
          <w:p w:rsidR="00EE066B" w:rsidRPr="00B708FC" w:rsidRDefault="00EE066B" w:rsidP="00435AB3">
            <w:pPr>
              <w:pStyle w:val="NoSpacing"/>
              <w:jc w:val="both"/>
              <w:rPr>
                <w:b/>
                <w:szCs w:val="26"/>
              </w:rPr>
            </w:pPr>
            <w:r w:rsidRPr="00B708FC">
              <w:rPr>
                <w:b/>
                <w:szCs w:val="26"/>
              </w:rPr>
              <w:t xml:space="preserve">Delegation of power to consider and decide on appeals to </w:t>
            </w:r>
            <w:r w:rsidR="00435AB3">
              <w:rPr>
                <w:b/>
                <w:szCs w:val="26"/>
              </w:rPr>
              <w:t xml:space="preserve">the Minister of State </w:t>
            </w:r>
            <w:r w:rsidRPr="00B708FC">
              <w:rPr>
                <w:b/>
                <w:szCs w:val="26"/>
              </w:rPr>
              <w:t>(Finance)</w:t>
            </w:r>
          </w:p>
        </w:tc>
      </w:tr>
      <w:tr w:rsidR="00EE066B" w:rsidRPr="00E5534D" w:rsidTr="00E461EB">
        <w:tc>
          <w:tcPr>
            <w:tcW w:w="1126" w:type="dxa"/>
            <w:shd w:val="clear" w:color="auto" w:fill="auto"/>
          </w:tcPr>
          <w:p w:rsidR="00EE066B" w:rsidRDefault="00EE066B">
            <w:pPr>
              <w:pStyle w:val="NoSpacing"/>
              <w:jc w:val="center"/>
            </w:pPr>
            <w:r>
              <w:rPr>
                <w:szCs w:val="26"/>
              </w:rPr>
              <w:t>2</w:t>
            </w:r>
          </w:p>
        </w:tc>
        <w:tc>
          <w:tcPr>
            <w:tcW w:w="5253" w:type="dxa"/>
            <w:gridSpan w:val="2"/>
            <w:shd w:val="clear" w:color="auto" w:fill="auto"/>
          </w:tcPr>
          <w:p w:rsidR="00EE066B" w:rsidRPr="00B708FC" w:rsidRDefault="00435AB3" w:rsidP="006C0914">
            <w:pPr>
              <w:jc w:val="both"/>
              <w:rPr>
                <w:szCs w:val="26"/>
              </w:rPr>
            </w:pPr>
            <w:r>
              <w:rPr>
                <w:szCs w:val="26"/>
              </w:rPr>
              <w:t>The Companies Act (</w:t>
            </w:r>
            <w:r w:rsidR="00EE066B" w:rsidRPr="00B708FC">
              <w:rPr>
                <w:szCs w:val="26"/>
              </w:rPr>
              <w:t>CA</w:t>
            </w:r>
            <w:r>
              <w:rPr>
                <w:szCs w:val="26"/>
              </w:rPr>
              <w:t>)</w:t>
            </w:r>
            <w:r w:rsidR="00EE066B" w:rsidRPr="00B708FC">
              <w:rPr>
                <w:szCs w:val="26"/>
              </w:rPr>
              <w:t xml:space="preserve"> gives the Minister</w:t>
            </w:r>
            <w:r w:rsidR="00EE066B">
              <w:rPr>
                <w:szCs w:val="26"/>
              </w:rPr>
              <w:t xml:space="preserve"> the power</w:t>
            </w:r>
            <w:r w:rsidR="00EE066B" w:rsidRPr="00B708FC">
              <w:rPr>
                <w:szCs w:val="26"/>
              </w:rPr>
              <w:t xml:space="preserve"> to consider and decide on appeals</w:t>
            </w:r>
            <w:r w:rsidR="00EE066B">
              <w:rPr>
                <w:szCs w:val="26"/>
              </w:rPr>
              <w:t xml:space="preserve"> against the Registrar’s decision under the following sections</w:t>
            </w:r>
            <w:r w:rsidR="00EE066B" w:rsidRPr="00B708FC">
              <w:rPr>
                <w:szCs w:val="26"/>
              </w:rPr>
              <w:t>:</w:t>
            </w:r>
          </w:p>
          <w:p w:rsidR="00EE066B" w:rsidRDefault="00EE066B" w:rsidP="006C0914">
            <w:pPr>
              <w:jc w:val="both"/>
              <w:rPr>
                <w:szCs w:val="26"/>
              </w:rPr>
            </w:pPr>
          </w:p>
          <w:p w:rsidR="00EE066B" w:rsidRDefault="00EE066B" w:rsidP="006C0914">
            <w:pPr>
              <w:numPr>
                <w:ilvl w:val="0"/>
                <w:numId w:val="30"/>
              </w:numPr>
              <w:ind w:left="601" w:hanging="601"/>
              <w:jc w:val="both"/>
              <w:rPr>
                <w:szCs w:val="26"/>
              </w:rPr>
            </w:pPr>
            <w:r>
              <w:rPr>
                <w:szCs w:val="26"/>
              </w:rPr>
              <w:t>Power to refuse registration: section 20(3)</w:t>
            </w:r>
          </w:p>
          <w:p w:rsidR="00EE066B" w:rsidRDefault="00EE066B" w:rsidP="006C0914">
            <w:pPr>
              <w:numPr>
                <w:ilvl w:val="0"/>
                <w:numId w:val="30"/>
              </w:numPr>
              <w:ind w:left="601" w:hanging="601"/>
              <w:jc w:val="both"/>
              <w:rPr>
                <w:szCs w:val="26"/>
              </w:rPr>
            </w:pPr>
            <w:r>
              <w:rPr>
                <w:szCs w:val="26"/>
              </w:rPr>
              <w:t>Names of companies: section 27(5) and (5A)</w:t>
            </w:r>
          </w:p>
          <w:p w:rsidR="00EE066B" w:rsidRDefault="00EE066B" w:rsidP="006C0914">
            <w:pPr>
              <w:numPr>
                <w:ilvl w:val="0"/>
                <w:numId w:val="30"/>
              </w:numPr>
              <w:ind w:left="601" w:hanging="601"/>
              <w:jc w:val="both"/>
              <w:rPr>
                <w:szCs w:val="26"/>
              </w:rPr>
            </w:pPr>
            <w:r>
              <w:rPr>
                <w:szCs w:val="26"/>
              </w:rPr>
              <w:t>Change of name: section 28(3D) and (3E)</w:t>
            </w:r>
          </w:p>
          <w:p w:rsidR="00134BBA" w:rsidRDefault="00EE066B" w:rsidP="00134BBA">
            <w:pPr>
              <w:numPr>
                <w:ilvl w:val="0"/>
                <w:numId w:val="30"/>
              </w:numPr>
              <w:ind w:left="601" w:hanging="601"/>
              <w:jc w:val="both"/>
              <w:rPr>
                <w:szCs w:val="26"/>
              </w:rPr>
            </w:pPr>
            <w:r>
              <w:rPr>
                <w:szCs w:val="26"/>
              </w:rPr>
              <w:t>Power to refuse registration of a foreign company in certain circumstances: section 369(2)</w:t>
            </w:r>
          </w:p>
          <w:p w:rsidR="00EE066B" w:rsidRPr="00134BBA" w:rsidRDefault="00EE066B" w:rsidP="00134BBA">
            <w:pPr>
              <w:numPr>
                <w:ilvl w:val="0"/>
                <w:numId w:val="30"/>
              </w:numPr>
              <w:ind w:left="601" w:hanging="601"/>
              <w:jc w:val="both"/>
              <w:rPr>
                <w:szCs w:val="26"/>
              </w:rPr>
            </w:pPr>
            <w:r w:rsidRPr="00134BBA">
              <w:rPr>
                <w:szCs w:val="26"/>
              </w:rPr>
              <w:t>Cesser of business in Singapore: section 377(9).</w:t>
            </w:r>
          </w:p>
        </w:tc>
        <w:tc>
          <w:tcPr>
            <w:tcW w:w="4395" w:type="dxa"/>
            <w:shd w:val="clear" w:color="auto" w:fill="auto"/>
          </w:tcPr>
          <w:p w:rsidR="00FB3778" w:rsidRDefault="00EE066B" w:rsidP="00E97F8D">
            <w:pPr>
              <w:pStyle w:val="NoSpacing"/>
              <w:jc w:val="both"/>
            </w:pPr>
            <w:r>
              <w:t xml:space="preserve">Amend the CA to enable the Minister to delegate the power to consider and decide on appeals to </w:t>
            </w:r>
            <w:r w:rsidR="00435AB3">
              <w:t xml:space="preserve">the Minister of State </w:t>
            </w:r>
            <w:r>
              <w:t>(Finance)</w:t>
            </w:r>
            <w:r w:rsidR="00322CA3">
              <w:t xml:space="preserve"> </w:t>
            </w:r>
            <w:r>
              <w:t>if he wishes to.</w:t>
            </w:r>
          </w:p>
          <w:p w:rsidR="008C52A8" w:rsidRDefault="008C52A8" w:rsidP="00E97F8D">
            <w:pPr>
              <w:pStyle w:val="NoSpacing"/>
              <w:jc w:val="both"/>
            </w:pPr>
          </w:p>
          <w:p w:rsidR="008C52A8" w:rsidRDefault="007703E9" w:rsidP="007703E9">
            <w:pPr>
              <w:pStyle w:val="NoSpacing"/>
              <w:jc w:val="both"/>
            </w:pPr>
            <w:r>
              <w:t>(</w:t>
            </w:r>
            <w:r w:rsidR="008C52A8">
              <w:t xml:space="preserve">Note: </w:t>
            </w:r>
            <w:r w:rsidR="008C52A8" w:rsidRPr="008C52A8">
              <w:t>The delegation power will also be applicable to the new section 29(8A) introduced in Clause 10 below.</w:t>
            </w:r>
            <w:r>
              <w:t>)</w:t>
            </w:r>
          </w:p>
        </w:tc>
        <w:tc>
          <w:tcPr>
            <w:tcW w:w="3119" w:type="dxa"/>
            <w:shd w:val="clear" w:color="auto" w:fill="auto"/>
          </w:tcPr>
          <w:p w:rsidR="00EE066B" w:rsidRPr="007D61C4" w:rsidRDefault="00E97F8D" w:rsidP="007D61C4">
            <w:pPr>
              <w:pStyle w:val="NoSpacing"/>
              <w:jc w:val="both"/>
            </w:pPr>
            <w:r>
              <w:t>Provide</w:t>
            </w:r>
            <w:r w:rsidR="00EE066B">
              <w:t xml:space="preserve"> flexibility for the Minister to delegate the power to decide on appeals.</w:t>
            </w:r>
          </w:p>
        </w:tc>
      </w:tr>
      <w:tr w:rsidR="00EE066B" w:rsidRPr="00E5534D" w:rsidTr="00C42E01">
        <w:tc>
          <w:tcPr>
            <w:tcW w:w="13893" w:type="dxa"/>
            <w:gridSpan w:val="5"/>
            <w:shd w:val="clear" w:color="auto" w:fill="FBD4B4" w:themeFill="accent6" w:themeFillTint="66"/>
          </w:tcPr>
          <w:p w:rsidR="00EE066B" w:rsidRPr="00E5534D" w:rsidRDefault="00EE066B" w:rsidP="00D47DAB">
            <w:pPr>
              <w:pStyle w:val="NoSpacing"/>
              <w:jc w:val="both"/>
              <w:rPr>
                <w:b/>
                <w:szCs w:val="26"/>
              </w:rPr>
            </w:pPr>
            <w:r>
              <w:rPr>
                <w:b/>
                <w:szCs w:val="26"/>
              </w:rPr>
              <w:t>Interests in shares</w:t>
            </w:r>
          </w:p>
        </w:tc>
      </w:tr>
      <w:tr w:rsidR="00EE066B" w:rsidRPr="00E5534D" w:rsidTr="00E461EB">
        <w:tc>
          <w:tcPr>
            <w:tcW w:w="1126" w:type="dxa"/>
          </w:tcPr>
          <w:p w:rsidR="00EE066B" w:rsidRDefault="00EE066B" w:rsidP="00BC2727">
            <w:pPr>
              <w:jc w:val="center"/>
              <w:rPr>
                <w:strike/>
                <w:szCs w:val="26"/>
              </w:rPr>
            </w:pPr>
            <w:r>
              <w:rPr>
                <w:szCs w:val="26"/>
              </w:rPr>
              <w:t xml:space="preserve">3 &amp; </w:t>
            </w:r>
            <w:r w:rsidR="008D5B6B">
              <w:rPr>
                <w:szCs w:val="26"/>
              </w:rPr>
              <w:t>6</w:t>
            </w:r>
            <w:r w:rsidR="00BC2727">
              <w:rPr>
                <w:szCs w:val="26"/>
              </w:rPr>
              <w:t>1</w:t>
            </w:r>
          </w:p>
        </w:tc>
        <w:tc>
          <w:tcPr>
            <w:tcW w:w="5253" w:type="dxa"/>
            <w:gridSpan w:val="2"/>
          </w:tcPr>
          <w:p w:rsidR="00EE066B" w:rsidRPr="00EA187B" w:rsidRDefault="00EE066B" w:rsidP="005D7D8D">
            <w:pPr>
              <w:jc w:val="both"/>
              <w:rPr>
                <w:szCs w:val="26"/>
              </w:rPr>
            </w:pPr>
            <w:r w:rsidRPr="00EA187B">
              <w:rPr>
                <w:bCs/>
                <w:szCs w:val="26"/>
              </w:rPr>
              <w:t xml:space="preserve">Section 7(4A) provides that </w:t>
            </w:r>
            <w:r w:rsidRPr="00EA187B">
              <w:rPr>
                <w:szCs w:val="26"/>
              </w:rPr>
              <w:t>where a body corporate has or is deemed to have an interest in a share, a person who with his associates is entitled to exercise or control the exercise of not less than 20% of the votes attached to the voting shares in the body corporate is deemed to have an interest in that share. Section 7(5) defines a person C as an associate of B if:</w:t>
            </w:r>
          </w:p>
          <w:p w:rsidR="00EE066B" w:rsidRPr="00C5692E" w:rsidRDefault="00EE066B" w:rsidP="00924C35">
            <w:pPr>
              <w:numPr>
                <w:ilvl w:val="0"/>
                <w:numId w:val="7"/>
              </w:numPr>
              <w:ind w:left="601" w:hanging="601"/>
              <w:jc w:val="both"/>
              <w:rPr>
                <w:szCs w:val="26"/>
              </w:rPr>
            </w:pPr>
            <w:r w:rsidRPr="00C5692E">
              <w:rPr>
                <w:szCs w:val="26"/>
              </w:rPr>
              <w:t xml:space="preserve">C is a subsidiary, holding company or </w:t>
            </w:r>
            <w:r w:rsidRPr="00C5692E">
              <w:rPr>
                <w:szCs w:val="26"/>
              </w:rPr>
              <w:lastRenderedPageBreak/>
              <w:t>fellow subsidiary of B;</w:t>
            </w:r>
          </w:p>
          <w:p w:rsidR="00EE066B" w:rsidRPr="00C5692E" w:rsidRDefault="00EE066B" w:rsidP="00924C35">
            <w:pPr>
              <w:numPr>
                <w:ilvl w:val="0"/>
                <w:numId w:val="7"/>
              </w:numPr>
              <w:ind w:left="601" w:hanging="601"/>
              <w:jc w:val="both"/>
              <w:rPr>
                <w:szCs w:val="26"/>
              </w:rPr>
            </w:pPr>
            <w:r w:rsidRPr="00C5692E">
              <w:rPr>
                <w:szCs w:val="26"/>
              </w:rPr>
              <w:t>B must act in accordance with C’s direction;</w:t>
            </w:r>
          </w:p>
          <w:p w:rsidR="00EE066B" w:rsidRPr="00C5692E" w:rsidRDefault="00EE066B" w:rsidP="00924C35">
            <w:pPr>
              <w:numPr>
                <w:ilvl w:val="0"/>
                <w:numId w:val="7"/>
              </w:numPr>
              <w:ind w:left="601" w:hanging="601"/>
              <w:jc w:val="both"/>
              <w:rPr>
                <w:szCs w:val="26"/>
              </w:rPr>
            </w:pPr>
            <w:r w:rsidRPr="00C5692E">
              <w:rPr>
                <w:szCs w:val="26"/>
              </w:rPr>
              <w:t>C is obliged to act in accordance with B’s direction;</w:t>
            </w:r>
          </w:p>
          <w:p w:rsidR="00EE066B" w:rsidRDefault="00EE066B" w:rsidP="00924C35">
            <w:pPr>
              <w:numPr>
                <w:ilvl w:val="0"/>
                <w:numId w:val="7"/>
              </w:numPr>
              <w:ind w:left="601" w:hanging="601"/>
              <w:jc w:val="both"/>
              <w:rPr>
                <w:szCs w:val="26"/>
              </w:rPr>
            </w:pPr>
            <w:r w:rsidRPr="00C5692E">
              <w:rPr>
                <w:szCs w:val="26"/>
              </w:rPr>
              <w:t>C is a body corporate which is, or whose directors are, obliged to act in accordance with B’s direction; or</w:t>
            </w:r>
          </w:p>
          <w:p w:rsidR="00EE066B" w:rsidRPr="00614CA5" w:rsidRDefault="00EE066B" w:rsidP="00924C35">
            <w:pPr>
              <w:numPr>
                <w:ilvl w:val="0"/>
                <w:numId w:val="7"/>
              </w:numPr>
              <w:ind w:left="601" w:hanging="601"/>
              <w:jc w:val="both"/>
              <w:rPr>
                <w:szCs w:val="26"/>
              </w:rPr>
            </w:pPr>
            <w:r w:rsidRPr="005D7D8D">
              <w:rPr>
                <w:szCs w:val="26"/>
              </w:rPr>
              <w:t>C is a body corporate and B must act in accordance with C’s or C’s directors’ directions.</w:t>
            </w:r>
          </w:p>
        </w:tc>
        <w:tc>
          <w:tcPr>
            <w:tcW w:w="4395" w:type="dxa"/>
            <w:shd w:val="clear" w:color="auto" w:fill="auto"/>
          </w:tcPr>
          <w:p w:rsidR="00EE066B" w:rsidRPr="00EE62B9" w:rsidRDefault="00EE066B" w:rsidP="00524EFE">
            <w:pPr>
              <w:jc w:val="both"/>
              <w:rPr>
                <w:szCs w:val="26"/>
              </w:rPr>
            </w:pPr>
            <w:r w:rsidRPr="00EE62B9">
              <w:rPr>
                <w:szCs w:val="26"/>
              </w:rPr>
              <w:lastRenderedPageBreak/>
              <w:t xml:space="preserve">Narrow the scope of the deemed interest provision by excluding holding company and fellow subsidiaries from the definition of associates under section 7(5) i.e. amend section 7(5)(a) to refer only to subsidiary and </w:t>
            </w:r>
            <w:r w:rsidR="00524EFE">
              <w:rPr>
                <w:szCs w:val="26"/>
              </w:rPr>
              <w:t>repeal</w:t>
            </w:r>
            <w:r w:rsidR="00524EFE" w:rsidRPr="00EE62B9">
              <w:rPr>
                <w:szCs w:val="26"/>
              </w:rPr>
              <w:t xml:space="preserve"> </w:t>
            </w:r>
            <w:r w:rsidRPr="00EE62B9">
              <w:rPr>
                <w:szCs w:val="26"/>
              </w:rPr>
              <w:t>section 7(5)(b) and (e).</w:t>
            </w:r>
            <w:r>
              <w:rPr>
                <w:szCs w:val="26"/>
              </w:rPr>
              <w:t xml:space="preserve"> </w:t>
            </w:r>
            <w:r w:rsidR="007E2914">
              <w:rPr>
                <w:szCs w:val="26"/>
              </w:rPr>
              <w:t xml:space="preserve">In short, after the amendment, section 7(5) will define a person C as an associate of B if C is a </w:t>
            </w:r>
            <w:r w:rsidR="007E2914">
              <w:rPr>
                <w:szCs w:val="26"/>
              </w:rPr>
              <w:lastRenderedPageBreak/>
              <w:t xml:space="preserve">subsidiary of B </w:t>
            </w:r>
            <w:r w:rsidR="00B94726">
              <w:rPr>
                <w:szCs w:val="26"/>
              </w:rPr>
              <w:t>or B is able t</w:t>
            </w:r>
            <w:r w:rsidR="00DA2BAB">
              <w:rPr>
                <w:szCs w:val="26"/>
              </w:rPr>
              <w:t>o</w:t>
            </w:r>
            <w:r w:rsidR="00B94726">
              <w:rPr>
                <w:szCs w:val="26"/>
              </w:rPr>
              <w:t xml:space="preserve"> control the decisions of C</w:t>
            </w:r>
            <w:bookmarkStart w:id="0" w:name="_GoBack"/>
            <w:bookmarkEnd w:id="0"/>
            <w:r w:rsidR="007E2914">
              <w:rPr>
                <w:szCs w:val="26"/>
              </w:rPr>
              <w:t xml:space="preserve">. </w:t>
            </w:r>
            <w:r>
              <w:rPr>
                <w:szCs w:val="26"/>
              </w:rPr>
              <w:t xml:space="preserve">Consequential amendments to other legislation arising from this </w:t>
            </w:r>
            <w:r w:rsidR="00E97F8D">
              <w:rPr>
                <w:szCs w:val="26"/>
              </w:rPr>
              <w:t xml:space="preserve">amendment </w:t>
            </w:r>
            <w:r>
              <w:rPr>
                <w:szCs w:val="26"/>
              </w:rPr>
              <w:t>are set out in the Schedule.</w:t>
            </w:r>
          </w:p>
        </w:tc>
        <w:tc>
          <w:tcPr>
            <w:tcW w:w="3119" w:type="dxa"/>
            <w:shd w:val="clear" w:color="auto" w:fill="auto"/>
          </w:tcPr>
          <w:p w:rsidR="00EE066B" w:rsidRPr="00EE62B9" w:rsidRDefault="00EE066B" w:rsidP="00EE62B9">
            <w:pPr>
              <w:jc w:val="both"/>
              <w:rPr>
                <w:szCs w:val="26"/>
              </w:rPr>
            </w:pPr>
            <w:r w:rsidRPr="00EE62B9">
              <w:rPr>
                <w:szCs w:val="26"/>
              </w:rPr>
              <w:lastRenderedPageBreak/>
              <w:t>For consistency with the manner in which corporate control is exercised.</w:t>
            </w:r>
          </w:p>
        </w:tc>
      </w:tr>
      <w:tr w:rsidR="00EE066B" w:rsidRPr="00E5534D" w:rsidTr="00C42E01">
        <w:tc>
          <w:tcPr>
            <w:tcW w:w="13893" w:type="dxa"/>
            <w:gridSpan w:val="5"/>
            <w:shd w:val="clear" w:color="auto" w:fill="FBD4B4" w:themeFill="accent6" w:themeFillTint="66"/>
          </w:tcPr>
          <w:p w:rsidR="00EE066B" w:rsidRDefault="00EE066B" w:rsidP="00AD7E69">
            <w:pPr>
              <w:pStyle w:val="NoSpacing"/>
              <w:jc w:val="both"/>
              <w:rPr>
                <w:szCs w:val="26"/>
              </w:rPr>
            </w:pPr>
            <w:r w:rsidRPr="002A2F4B">
              <w:rPr>
                <w:b/>
                <w:bCs/>
                <w:szCs w:val="26"/>
              </w:rPr>
              <w:lastRenderedPageBreak/>
              <w:t>Update section 12(7) on destruction of old records</w:t>
            </w:r>
          </w:p>
        </w:tc>
      </w:tr>
      <w:tr w:rsidR="00EE066B" w:rsidRPr="00E5534D" w:rsidTr="00E461EB">
        <w:tc>
          <w:tcPr>
            <w:tcW w:w="1126" w:type="dxa"/>
          </w:tcPr>
          <w:p w:rsidR="00EE066B" w:rsidRPr="00FD15E6" w:rsidRDefault="00EE066B" w:rsidP="00FD15E6">
            <w:pPr>
              <w:jc w:val="center"/>
              <w:rPr>
                <w:szCs w:val="26"/>
              </w:rPr>
            </w:pPr>
            <w:r>
              <w:rPr>
                <w:szCs w:val="26"/>
              </w:rPr>
              <w:t>4</w:t>
            </w:r>
          </w:p>
        </w:tc>
        <w:tc>
          <w:tcPr>
            <w:tcW w:w="5253" w:type="dxa"/>
            <w:gridSpan w:val="2"/>
          </w:tcPr>
          <w:p w:rsidR="00EE066B" w:rsidRDefault="00EE066B" w:rsidP="00A91283">
            <w:pPr>
              <w:pStyle w:val="NoSpacing"/>
              <w:jc w:val="both"/>
            </w:pPr>
            <w:r>
              <w:t>Section 12(7) relates to the destruction or transfer of old documents.</w:t>
            </w:r>
          </w:p>
        </w:tc>
        <w:tc>
          <w:tcPr>
            <w:tcW w:w="4395" w:type="dxa"/>
            <w:shd w:val="clear" w:color="auto" w:fill="auto"/>
          </w:tcPr>
          <w:p w:rsidR="00EE066B" w:rsidRDefault="00EE066B" w:rsidP="00AD7E69">
            <w:pPr>
              <w:pStyle w:val="NoSpacing"/>
              <w:jc w:val="both"/>
            </w:pPr>
            <w:r>
              <w:t>Amend section 12(7) to allow the Registrar to:</w:t>
            </w:r>
          </w:p>
          <w:p w:rsidR="00EE066B" w:rsidRDefault="00EE066B" w:rsidP="00924C35">
            <w:pPr>
              <w:pStyle w:val="NoSpacing"/>
              <w:numPr>
                <w:ilvl w:val="0"/>
                <w:numId w:val="31"/>
              </w:numPr>
              <w:jc w:val="both"/>
            </w:pPr>
            <w:r>
              <w:t>destroy documents with the authorisation of the National Library Board; or</w:t>
            </w:r>
          </w:p>
          <w:p w:rsidR="00EE066B" w:rsidRDefault="00EE066B" w:rsidP="00924C35">
            <w:pPr>
              <w:pStyle w:val="NoSpacing"/>
              <w:numPr>
                <w:ilvl w:val="0"/>
                <w:numId w:val="31"/>
              </w:numPr>
              <w:jc w:val="both"/>
            </w:pPr>
            <w:r>
              <w:t>transfer documents to the National Archives of Singapore,</w:t>
            </w:r>
          </w:p>
          <w:p w:rsidR="00EE066B" w:rsidRPr="003F5FB2" w:rsidRDefault="00EE066B" w:rsidP="00AD7E69">
            <w:pPr>
              <w:pStyle w:val="NoSpacing"/>
              <w:jc w:val="both"/>
            </w:pPr>
            <w:r>
              <w:t>if the documents have been microfilmed or converted to electronic form.</w:t>
            </w:r>
          </w:p>
        </w:tc>
        <w:tc>
          <w:tcPr>
            <w:tcW w:w="3119" w:type="dxa"/>
            <w:shd w:val="clear" w:color="auto" w:fill="auto"/>
          </w:tcPr>
          <w:p w:rsidR="00EE066B" w:rsidRDefault="00EE066B" w:rsidP="00E64715">
            <w:pPr>
              <w:pStyle w:val="NoSpacing"/>
              <w:jc w:val="both"/>
            </w:pPr>
            <w:r>
              <w:t xml:space="preserve">Update the provision to reflect </w:t>
            </w:r>
            <w:r w:rsidRPr="003F5FB2">
              <w:t xml:space="preserve">the applicability of the </w:t>
            </w:r>
            <w:r>
              <w:t xml:space="preserve">National Library Board Act </w:t>
            </w:r>
            <w:r w:rsidRPr="003F5FB2">
              <w:t>on destruction</w:t>
            </w:r>
            <w:r w:rsidR="00435AB3">
              <w:t xml:space="preserve"> or transfer</w:t>
            </w:r>
            <w:r w:rsidRPr="003F5FB2">
              <w:t xml:space="preserve"> of old records</w:t>
            </w:r>
            <w:r>
              <w:t>.</w:t>
            </w:r>
          </w:p>
        </w:tc>
      </w:tr>
      <w:tr w:rsidR="00EE066B" w:rsidRPr="00E5534D" w:rsidTr="00C42E01">
        <w:tc>
          <w:tcPr>
            <w:tcW w:w="13893" w:type="dxa"/>
            <w:gridSpan w:val="5"/>
            <w:shd w:val="clear" w:color="auto" w:fill="FBD4B4" w:themeFill="accent6" w:themeFillTint="66"/>
          </w:tcPr>
          <w:p w:rsidR="00EE066B" w:rsidRPr="00D47DAB" w:rsidRDefault="00EE066B" w:rsidP="009847F5">
            <w:pPr>
              <w:jc w:val="both"/>
              <w:rPr>
                <w:szCs w:val="26"/>
              </w:rPr>
            </w:pPr>
            <w:r w:rsidRPr="00D47DAB">
              <w:rPr>
                <w:b/>
                <w:szCs w:val="26"/>
              </w:rPr>
              <w:t>Rectification of register</w:t>
            </w:r>
          </w:p>
        </w:tc>
      </w:tr>
      <w:tr w:rsidR="00EE066B" w:rsidRPr="00E5534D" w:rsidTr="00E461EB">
        <w:tc>
          <w:tcPr>
            <w:tcW w:w="1126" w:type="dxa"/>
          </w:tcPr>
          <w:p w:rsidR="00EE066B" w:rsidRDefault="00EE066B">
            <w:pPr>
              <w:jc w:val="center"/>
              <w:rPr>
                <w:szCs w:val="26"/>
              </w:rPr>
            </w:pPr>
            <w:r>
              <w:rPr>
                <w:szCs w:val="26"/>
              </w:rPr>
              <w:t>5 &amp; 6</w:t>
            </w:r>
          </w:p>
        </w:tc>
        <w:tc>
          <w:tcPr>
            <w:tcW w:w="5253" w:type="dxa"/>
            <w:gridSpan w:val="2"/>
          </w:tcPr>
          <w:p w:rsidR="00EE066B" w:rsidRDefault="00EE066B" w:rsidP="00B94726">
            <w:pPr>
              <w:jc w:val="both"/>
              <w:rPr>
                <w:bCs/>
                <w:szCs w:val="26"/>
              </w:rPr>
            </w:pPr>
            <w:r w:rsidRPr="00D47DAB">
              <w:rPr>
                <w:szCs w:val="26"/>
              </w:rPr>
              <w:t xml:space="preserve">Section 12B(3) and (4) provide that the Registrar may rectify typographical or clerical errors contained in </w:t>
            </w:r>
            <w:r>
              <w:rPr>
                <w:szCs w:val="26"/>
              </w:rPr>
              <w:t>a document</w:t>
            </w:r>
            <w:r w:rsidR="00B94726">
              <w:rPr>
                <w:szCs w:val="26"/>
              </w:rPr>
              <w:t xml:space="preserve"> lodged with the Registrar</w:t>
            </w:r>
            <w:r w:rsidRPr="00D47DAB">
              <w:rPr>
                <w:szCs w:val="26"/>
              </w:rPr>
              <w:t xml:space="preserve"> upon notification by the company. However, the company must apply to the Court to rectify other defects or errors.</w:t>
            </w:r>
          </w:p>
        </w:tc>
        <w:tc>
          <w:tcPr>
            <w:tcW w:w="4395" w:type="dxa"/>
            <w:shd w:val="clear" w:color="auto" w:fill="auto"/>
          </w:tcPr>
          <w:p w:rsidR="00EE066B" w:rsidRDefault="00F9271E">
            <w:pPr>
              <w:jc w:val="both"/>
              <w:rPr>
                <w:strike/>
                <w:szCs w:val="26"/>
              </w:rPr>
            </w:pPr>
            <w:r>
              <w:rPr>
                <w:szCs w:val="26"/>
              </w:rPr>
              <w:t>Repeal and re-enact section 12B(3) and (4) to w</w:t>
            </w:r>
            <w:r w:rsidR="00EE066B">
              <w:rPr>
                <w:szCs w:val="26"/>
              </w:rPr>
              <w:t xml:space="preserve">iden the scope of errors which the </w:t>
            </w:r>
            <w:r w:rsidR="00EE066B" w:rsidRPr="00D47DAB">
              <w:rPr>
                <w:szCs w:val="26"/>
              </w:rPr>
              <w:t>Registrar</w:t>
            </w:r>
            <w:r w:rsidR="00EE066B">
              <w:rPr>
                <w:szCs w:val="26"/>
              </w:rPr>
              <w:t xml:space="preserve"> may rectify upon application of the company to include errors in filing that</w:t>
            </w:r>
            <w:r w:rsidR="00902276">
              <w:rPr>
                <w:szCs w:val="26"/>
              </w:rPr>
              <w:t xml:space="preserve"> </w:t>
            </w:r>
            <w:r w:rsidR="00EE066B" w:rsidRPr="004C7F22">
              <w:rPr>
                <w:szCs w:val="26"/>
              </w:rPr>
              <w:t>are unintended and do not prejudice any person</w:t>
            </w:r>
            <w:r w:rsidR="00EE066B">
              <w:rPr>
                <w:szCs w:val="26"/>
              </w:rPr>
              <w:t>.</w:t>
            </w:r>
          </w:p>
          <w:p w:rsidR="00EE066B" w:rsidRDefault="00EE066B" w:rsidP="002E0C4B">
            <w:pPr>
              <w:jc w:val="both"/>
              <w:rPr>
                <w:szCs w:val="26"/>
              </w:rPr>
            </w:pPr>
          </w:p>
          <w:p w:rsidR="00EE066B" w:rsidRPr="00AD6202" w:rsidRDefault="00EE066B" w:rsidP="00AD6202">
            <w:pPr>
              <w:jc w:val="both"/>
              <w:rPr>
                <w:szCs w:val="26"/>
              </w:rPr>
            </w:pPr>
            <w:r w:rsidRPr="00AD6202">
              <w:rPr>
                <w:szCs w:val="26"/>
              </w:rPr>
              <w:t xml:space="preserve">Introduce </w:t>
            </w:r>
            <w:r w:rsidR="00F9271E">
              <w:rPr>
                <w:szCs w:val="26"/>
              </w:rPr>
              <w:t xml:space="preserve">section 12C </w:t>
            </w:r>
            <w:r w:rsidRPr="00AD6202">
              <w:rPr>
                <w:szCs w:val="26"/>
              </w:rPr>
              <w:t>to allow the Registrar to rectify or update the register on his own initiative if the Registrar is satisfied that:</w:t>
            </w:r>
          </w:p>
          <w:p w:rsidR="00EE066B" w:rsidRPr="00296943" w:rsidRDefault="00EE066B" w:rsidP="00296943">
            <w:pPr>
              <w:pStyle w:val="ListParagraph"/>
              <w:numPr>
                <w:ilvl w:val="0"/>
                <w:numId w:val="43"/>
              </w:numPr>
              <w:jc w:val="both"/>
              <w:rPr>
                <w:szCs w:val="26"/>
              </w:rPr>
            </w:pPr>
            <w:r w:rsidRPr="00296943">
              <w:rPr>
                <w:szCs w:val="26"/>
              </w:rPr>
              <w:t>there is a defect or error in the particulars arising from any grammatical, typographical or similar mistake; or</w:t>
            </w:r>
          </w:p>
          <w:p w:rsidR="00EE066B" w:rsidRDefault="00F016E0" w:rsidP="00296943">
            <w:pPr>
              <w:pStyle w:val="ListParagraph"/>
              <w:numPr>
                <w:ilvl w:val="0"/>
                <w:numId w:val="43"/>
              </w:numPr>
              <w:jc w:val="both"/>
              <w:rPr>
                <w:strike/>
                <w:szCs w:val="26"/>
              </w:rPr>
            </w:pPr>
            <w:r w:rsidRPr="00F016E0">
              <w:rPr>
                <w:szCs w:val="26"/>
              </w:rPr>
              <w:t>there is evidence of a conflict between the particulars of a company or person with other information on the register or information obtained from credible third-party sources.</w:t>
            </w:r>
          </w:p>
        </w:tc>
        <w:tc>
          <w:tcPr>
            <w:tcW w:w="3119" w:type="dxa"/>
            <w:shd w:val="clear" w:color="auto" w:fill="auto"/>
          </w:tcPr>
          <w:p w:rsidR="00EE066B" w:rsidRPr="00D47DAB" w:rsidRDefault="00EE066B" w:rsidP="009C1951">
            <w:pPr>
              <w:jc w:val="both"/>
              <w:rPr>
                <w:szCs w:val="26"/>
              </w:rPr>
            </w:pPr>
            <w:r>
              <w:rPr>
                <w:szCs w:val="26"/>
              </w:rPr>
              <w:lastRenderedPageBreak/>
              <w:t xml:space="preserve">Lower </w:t>
            </w:r>
            <w:r w:rsidRPr="00D47DAB">
              <w:rPr>
                <w:szCs w:val="26"/>
              </w:rPr>
              <w:t xml:space="preserve">costs for companies and </w:t>
            </w:r>
            <w:r>
              <w:rPr>
                <w:szCs w:val="26"/>
              </w:rPr>
              <w:t>improve the accuracy of ACRA’s register.</w:t>
            </w:r>
          </w:p>
        </w:tc>
      </w:tr>
      <w:tr w:rsidR="00EE066B" w:rsidRPr="00E5534D" w:rsidTr="00C42E01">
        <w:tc>
          <w:tcPr>
            <w:tcW w:w="13893" w:type="dxa"/>
            <w:gridSpan w:val="5"/>
            <w:shd w:val="clear" w:color="auto" w:fill="FBD4B4" w:themeFill="accent6" w:themeFillTint="66"/>
          </w:tcPr>
          <w:p w:rsidR="00EE066B" w:rsidRPr="003520D0" w:rsidRDefault="00EE066B" w:rsidP="005D7D8D">
            <w:pPr>
              <w:pStyle w:val="NoSpacing"/>
              <w:jc w:val="both"/>
              <w:rPr>
                <w:b/>
                <w:szCs w:val="26"/>
              </w:rPr>
            </w:pPr>
            <w:r w:rsidRPr="003520D0">
              <w:rPr>
                <w:b/>
                <w:szCs w:val="26"/>
              </w:rPr>
              <w:lastRenderedPageBreak/>
              <w:t>Enforcement of duty to make returns</w:t>
            </w:r>
          </w:p>
        </w:tc>
      </w:tr>
      <w:tr w:rsidR="00EE066B" w:rsidRPr="00E5534D" w:rsidTr="00E461EB">
        <w:tc>
          <w:tcPr>
            <w:tcW w:w="1126" w:type="dxa"/>
          </w:tcPr>
          <w:p w:rsidR="00EE066B" w:rsidRPr="000161A9" w:rsidRDefault="00EE066B" w:rsidP="000161A9">
            <w:pPr>
              <w:jc w:val="center"/>
              <w:rPr>
                <w:szCs w:val="26"/>
              </w:rPr>
            </w:pPr>
            <w:r>
              <w:rPr>
                <w:szCs w:val="26"/>
              </w:rPr>
              <w:t>7</w:t>
            </w:r>
          </w:p>
        </w:tc>
        <w:tc>
          <w:tcPr>
            <w:tcW w:w="5253" w:type="dxa"/>
            <w:gridSpan w:val="2"/>
          </w:tcPr>
          <w:p w:rsidR="00EE066B" w:rsidRPr="003520D0" w:rsidRDefault="00EE066B" w:rsidP="004B0B71">
            <w:pPr>
              <w:jc w:val="both"/>
              <w:rPr>
                <w:bCs/>
                <w:szCs w:val="26"/>
              </w:rPr>
            </w:pPr>
            <w:r w:rsidRPr="003520D0">
              <w:rPr>
                <w:szCs w:val="26"/>
              </w:rPr>
              <w:t>Section 13(1) allows the Court to order a company to comply with the Registrar’s request to amend, complete or resubmit a document or submit a fresh document. The provision currently only applies to documents that have not yet been registered.</w:t>
            </w:r>
          </w:p>
        </w:tc>
        <w:tc>
          <w:tcPr>
            <w:tcW w:w="4395" w:type="dxa"/>
            <w:shd w:val="clear" w:color="auto" w:fill="auto"/>
          </w:tcPr>
          <w:p w:rsidR="00EE066B" w:rsidRDefault="00EE066B" w:rsidP="004B0B71">
            <w:pPr>
              <w:jc w:val="both"/>
              <w:rPr>
                <w:bCs/>
                <w:szCs w:val="26"/>
              </w:rPr>
            </w:pPr>
            <w:r w:rsidRPr="003520D0">
              <w:rPr>
                <w:szCs w:val="26"/>
              </w:rPr>
              <w:t xml:space="preserve">Amend section 13(1) to expressly allow the Registrar to apply for a Court order if a company fails to comply with </w:t>
            </w:r>
            <w:r>
              <w:rPr>
                <w:szCs w:val="26"/>
              </w:rPr>
              <w:t>a</w:t>
            </w:r>
            <w:r w:rsidRPr="003520D0">
              <w:rPr>
                <w:szCs w:val="26"/>
              </w:rPr>
              <w:t xml:space="preserve"> request</w:t>
            </w:r>
            <w:r>
              <w:rPr>
                <w:szCs w:val="26"/>
              </w:rPr>
              <w:t xml:space="preserve"> </w:t>
            </w:r>
            <w:r w:rsidRPr="003520D0">
              <w:rPr>
                <w:szCs w:val="26"/>
              </w:rPr>
              <w:t>to rectify defective registered documents.</w:t>
            </w:r>
          </w:p>
        </w:tc>
        <w:tc>
          <w:tcPr>
            <w:tcW w:w="3119" w:type="dxa"/>
            <w:shd w:val="clear" w:color="auto" w:fill="auto"/>
          </w:tcPr>
          <w:p w:rsidR="00EE066B" w:rsidRPr="003520D0" w:rsidRDefault="00EE066B" w:rsidP="001277CE">
            <w:pPr>
              <w:jc w:val="both"/>
              <w:rPr>
                <w:szCs w:val="26"/>
              </w:rPr>
            </w:pPr>
            <w:r w:rsidRPr="003520D0">
              <w:rPr>
                <w:szCs w:val="26"/>
              </w:rPr>
              <w:t xml:space="preserve">Technical amendment </w:t>
            </w:r>
            <w:r>
              <w:rPr>
                <w:szCs w:val="26"/>
              </w:rPr>
              <w:t>to clarify the scope of s</w:t>
            </w:r>
            <w:r w:rsidR="003C143F">
              <w:rPr>
                <w:szCs w:val="26"/>
              </w:rPr>
              <w:t xml:space="preserve">ection </w:t>
            </w:r>
            <w:r>
              <w:rPr>
                <w:szCs w:val="26"/>
              </w:rPr>
              <w:t>13(1)</w:t>
            </w:r>
            <w:r w:rsidRPr="003520D0">
              <w:rPr>
                <w:szCs w:val="26"/>
              </w:rPr>
              <w:t>.</w:t>
            </w:r>
          </w:p>
        </w:tc>
      </w:tr>
      <w:tr w:rsidR="00EE066B" w:rsidRPr="003E6052" w:rsidTr="00C42E01">
        <w:tc>
          <w:tcPr>
            <w:tcW w:w="13893" w:type="dxa"/>
            <w:gridSpan w:val="5"/>
            <w:shd w:val="clear" w:color="auto" w:fill="FBD4B4" w:themeFill="accent6" w:themeFillTint="66"/>
          </w:tcPr>
          <w:p w:rsidR="00EE066B" w:rsidRPr="00A75B91" w:rsidRDefault="00EE066B" w:rsidP="005D7D8D">
            <w:pPr>
              <w:pStyle w:val="NoSpacing"/>
              <w:jc w:val="both"/>
              <w:rPr>
                <w:b/>
                <w:szCs w:val="26"/>
                <w:lang w:val="en-US"/>
              </w:rPr>
            </w:pPr>
            <w:r>
              <w:rPr>
                <w:b/>
                <w:szCs w:val="26"/>
                <w:lang w:val="en-US"/>
              </w:rPr>
              <w:t>Names of companies</w:t>
            </w:r>
          </w:p>
        </w:tc>
      </w:tr>
      <w:tr w:rsidR="00EE066B" w:rsidRPr="003E6052" w:rsidTr="00E461EB">
        <w:tc>
          <w:tcPr>
            <w:tcW w:w="1126" w:type="dxa"/>
            <w:vMerge w:val="restart"/>
          </w:tcPr>
          <w:p w:rsidR="00EE066B" w:rsidRDefault="00EE066B" w:rsidP="002927E9">
            <w:pPr>
              <w:jc w:val="center"/>
              <w:rPr>
                <w:szCs w:val="26"/>
              </w:rPr>
            </w:pPr>
            <w:r>
              <w:rPr>
                <w:szCs w:val="26"/>
              </w:rPr>
              <w:t>8</w:t>
            </w:r>
          </w:p>
        </w:tc>
        <w:tc>
          <w:tcPr>
            <w:tcW w:w="5253" w:type="dxa"/>
            <w:gridSpan w:val="2"/>
          </w:tcPr>
          <w:p w:rsidR="00EE066B" w:rsidRPr="005221B0" w:rsidRDefault="00EE066B" w:rsidP="00884FE1">
            <w:pPr>
              <w:jc w:val="both"/>
              <w:rPr>
                <w:bCs/>
                <w:szCs w:val="26"/>
              </w:rPr>
            </w:pPr>
            <w:r w:rsidRPr="005221B0">
              <w:rPr>
                <w:bCs/>
                <w:szCs w:val="26"/>
              </w:rPr>
              <w:t>Section 27 provides that a company name should not:</w:t>
            </w:r>
          </w:p>
          <w:p w:rsidR="002150CE" w:rsidRDefault="00EE066B" w:rsidP="007573E1">
            <w:pPr>
              <w:numPr>
                <w:ilvl w:val="0"/>
                <w:numId w:val="34"/>
              </w:numPr>
              <w:jc w:val="both"/>
              <w:rPr>
                <w:bCs/>
                <w:szCs w:val="26"/>
              </w:rPr>
            </w:pPr>
            <w:r w:rsidRPr="005221B0">
              <w:rPr>
                <w:bCs/>
                <w:szCs w:val="26"/>
              </w:rPr>
              <w:t>be identical to that of any other company, limited liability partnership, corporation or business; or</w:t>
            </w:r>
          </w:p>
          <w:p w:rsidR="00EE066B" w:rsidRPr="002150CE" w:rsidDel="007573E1" w:rsidRDefault="00EE066B" w:rsidP="007573E1">
            <w:pPr>
              <w:numPr>
                <w:ilvl w:val="0"/>
                <w:numId w:val="34"/>
              </w:numPr>
              <w:jc w:val="both"/>
              <w:rPr>
                <w:bCs/>
                <w:szCs w:val="26"/>
              </w:rPr>
            </w:pPr>
            <w:r w:rsidRPr="002150CE">
              <w:rPr>
                <w:bCs/>
                <w:szCs w:val="26"/>
              </w:rPr>
              <w:t xml:space="preserve">resemble that of another company, </w:t>
            </w:r>
            <w:r w:rsidRPr="002150CE">
              <w:rPr>
                <w:bCs/>
                <w:szCs w:val="26"/>
              </w:rPr>
              <w:lastRenderedPageBreak/>
              <w:t>corporation or business.</w:t>
            </w:r>
          </w:p>
        </w:tc>
        <w:tc>
          <w:tcPr>
            <w:tcW w:w="4395" w:type="dxa"/>
            <w:shd w:val="clear" w:color="auto" w:fill="auto"/>
          </w:tcPr>
          <w:p w:rsidR="00B51FD0" w:rsidRDefault="00877BD0" w:rsidP="00B41509">
            <w:pPr>
              <w:pStyle w:val="NoSpacing"/>
              <w:jc w:val="both"/>
              <w:rPr>
                <w:szCs w:val="26"/>
              </w:rPr>
            </w:pPr>
            <w:r>
              <w:rPr>
                <w:szCs w:val="26"/>
              </w:rPr>
              <w:lastRenderedPageBreak/>
              <w:t xml:space="preserve">Amend </w:t>
            </w:r>
            <w:r w:rsidRPr="004677C8">
              <w:rPr>
                <w:szCs w:val="26"/>
              </w:rPr>
              <w:t>section 27(1)(b)</w:t>
            </w:r>
            <w:r>
              <w:rPr>
                <w:szCs w:val="26"/>
              </w:rPr>
              <w:t xml:space="preserve"> to i</w:t>
            </w:r>
            <w:r w:rsidRPr="005221B0">
              <w:rPr>
                <w:szCs w:val="26"/>
              </w:rPr>
              <w:t xml:space="preserve">nclude </w:t>
            </w:r>
            <w:r w:rsidR="00EE066B" w:rsidRPr="005221B0">
              <w:rPr>
                <w:szCs w:val="26"/>
              </w:rPr>
              <w:t xml:space="preserve">reference to </w:t>
            </w:r>
            <w:r w:rsidR="00EE066B">
              <w:rPr>
                <w:szCs w:val="26"/>
              </w:rPr>
              <w:t>“limited partnerships”</w:t>
            </w:r>
            <w:r w:rsidR="00435AB3">
              <w:rPr>
                <w:szCs w:val="26"/>
              </w:rPr>
              <w:t xml:space="preserve">, </w:t>
            </w:r>
            <w:r>
              <w:rPr>
                <w:szCs w:val="26"/>
              </w:rPr>
              <w:t xml:space="preserve">and section 27(2)(b) </w:t>
            </w:r>
            <w:r w:rsidR="00435AB3" w:rsidRPr="00435AB3">
              <w:rPr>
                <w:szCs w:val="26"/>
              </w:rPr>
              <w:t>to</w:t>
            </w:r>
            <w:r>
              <w:rPr>
                <w:szCs w:val="26"/>
              </w:rPr>
              <w:t xml:space="preserve"> include reference to</w:t>
            </w:r>
            <w:r w:rsidR="00435AB3" w:rsidRPr="00435AB3">
              <w:rPr>
                <w:szCs w:val="26"/>
              </w:rPr>
              <w:t xml:space="preserve"> “limited liability partnership” and “limited partnership</w:t>
            </w:r>
            <w:r w:rsidR="00435AB3">
              <w:rPr>
                <w:szCs w:val="26"/>
              </w:rPr>
              <w:t>”</w:t>
            </w:r>
            <w:r w:rsidR="00EE066B" w:rsidRPr="005221B0">
              <w:rPr>
                <w:szCs w:val="26"/>
              </w:rPr>
              <w:t>.</w:t>
            </w:r>
          </w:p>
        </w:tc>
        <w:tc>
          <w:tcPr>
            <w:tcW w:w="3119" w:type="dxa"/>
            <w:shd w:val="clear" w:color="auto" w:fill="auto"/>
          </w:tcPr>
          <w:p w:rsidR="00FB3778" w:rsidRDefault="00EE066B">
            <w:pPr>
              <w:pStyle w:val="NoSpacing"/>
              <w:jc w:val="both"/>
              <w:rPr>
                <w:szCs w:val="26"/>
              </w:rPr>
            </w:pPr>
            <w:r w:rsidRPr="00FA4564">
              <w:rPr>
                <w:szCs w:val="26"/>
              </w:rPr>
              <w:t>Technical amendment</w:t>
            </w:r>
            <w:r w:rsidRPr="005221B0">
              <w:rPr>
                <w:szCs w:val="26"/>
              </w:rPr>
              <w:t xml:space="preserve"> to </w:t>
            </w:r>
            <w:r>
              <w:rPr>
                <w:szCs w:val="26"/>
              </w:rPr>
              <w:t xml:space="preserve">include prohibition of the registration of a name which is identical to </w:t>
            </w:r>
            <w:r w:rsidR="00DA27B3">
              <w:rPr>
                <w:szCs w:val="26"/>
              </w:rPr>
              <w:t xml:space="preserve">or resembles </w:t>
            </w:r>
            <w:r>
              <w:rPr>
                <w:szCs w:val="26"/>
              </w:rPr>
              <w:t>that of a limited partnership</w:t>
            </w:r>
            <w:r w:rsidR="00DA27B3">
              <w:rPr>
                <w:szCs w:val="26"/>
              </w:rPr>
              <w:t xml:space="preserve"> or a limited </w:t>
            </w:r>
            <w:r w:rsidR="00DA27B3">
              <w:rPr>
                <w:szCs w:val="26"/>
              </w:rPr>
              <w:lastRenderedPageBreak/>
              <w:t>liability partnership</w:t>
            </w:r>
            <w:r w:rsidRPr="005221B0">
              <w:rPr>
                <w:szCs w:val="26"/>
              </w:rPr>
              <w:t>.</w:t>
            </w:r>
          </w:p>
        </w:tc>
      </w:tr>
      <w:tr w:rsidR="00EE066B" w:rsidRPr="003E6052" w:rsidTr="00E461EB">
        <w:tc>
          <w:tcPr>
            <w:tcW w:w="1126" w:type="dxa"/>
            <w:vMerge/>
          </w:tcPr>
          <w:p w:rsidR="00EE066B" w:rsidRPr="000161A9" w:rsidRDefault="00EE066B" w:rsidP="000161A9">
            <w:pPr>
              <w:jc w:val="center"/>
              <w:rPr>
                <w:szCs w:val="26"/>
              </w:rPr>
            </w:pPr>
          </w:p>
        </w:tc>
        <w:tc>
          <w:tcPr>
            <w:tcW w:w="5253" w:type="dxa"/>
            <w:gridSpan w:val="2"/>
          </w:tcPr>
          <w:p w:rsidR="00EE066B" w:rsidRPr="008B4F61" w:rsidRDefault="00EE066B" w:rsidP="009F2875">
            <w:pPr>
              <w:pStyle w:val="NoSpacing"/>
              <w:jc w:val="both"/>
              <w:rPr>
                <w:bCs/>
                <w:szCs w:val="26"/>
              </w:rPr>
            </w:pPr>
            <w:r>
              <w:rPr>
                <w:bCs/>
                <w:szCs w:val="26"/>
              </w:rPr>
              <w:t xml:space="preserve">Section </w:t>
            </w:r>
            <w:r w:rsidRPr="008F4D65">
              <w:rPr>
                <w:szCs w:val="26"/>
              </w:rPr>
              <w:t>27(2)</w:t>
            </w:r>
            <w:r>
              <w:rPr>
                <w:szCs w:val="26"/>
              </w:rPr>
              <w:t xml:space="preserve"> </w:t>
            </w:r>
            <w:r w:rsidRPr="008F4D65">
              <w:rPr>
                <w:szCs w:val="26"/>
              </w:rPr>
              <w:t>allow</w:t>
            </w:r>
            <w:r>
              <w:rPr>
                <w:szCs w:val="26"/>
              </w:rPr>
              <w:t>s</w:t>
            </w:r>
            <w:r w:rsidRPr="008F4D65">
              <w:rPr>
                <w:szCs w:val="26"/>
              </w:rPr>
              <w:t xml:space="preserve"> the Registrar to direct a company to change its name</w:t>
            </w:r>
            <w:r>
              <w:rPr>
                <w:szCs w:val="26"/>
              </w:rPr>
              <w:t>. One of the grounds for such a direction is where the name is identical to another entity.</w:t>
            </w:r>
          </w:p>
        </w:tc>
        <w:tc>
          <w:tcPr>
            <w:tcW w:w="4395" w:type="dxa"/>
            <w:shd w:val="clear" w:color="auto" w:fill="auto"/>
          </w:tcPr>
          <w:p w:rsidR="00FB3778" w:rsidRDefault="00FB3778">
            <w:pPr>
              <w:pStyle w:val="NoSpacing"/>
              <w:jc w:val="both"/>
              <w:rPr>
                <w:szCs w:val="26"/>
              </w:rPr>
            </w:pPr>
            <w:r>
              <w:rPr>
                <w:szCs w:val="26"/>
              </w:rPr>
              <w:t>Amend section 27(2)(a) to exclude the provision relating to reserved names.</w:t>
            </w:r>
          </w:p>
        </w:tc>
        <w:tc>
          <w:tcPr>
            <w:tcW w:w="3119" w:type="dxa"/>
            <w:shd w:val="clear" w:color="auto" w:fill="auto"/>
          </w:tcPr>
          <w:p w:rsidR="00EE066B" w:rsidRPr="008B4F61" w:rsidRDefault="00EE066B" w:rsidP="008C52A8">
            <w:pPr>
              <w:pStyle w:val="NoSpacing"/>
              <w:jc w:val="both"/>
              <w:rPr>
                <w:szCs w:val="26"/>
              </w:rPr>
            </w:pPr>
            <w:r w:rsidRPr="009E7387">
              <w:rPr>
                <w:szCs w:val="26"/>
              </w:rPr>
              <w:t>Related to</w:t>
            </w:r>
            <w:r w:rsidR="008C52A8">
              <w:rPr>
                <w:szCs w:val="26"/>
              </w:rPr>
              <w:t xml:space="preserve"> the new s</w:t>
            </w:r>
            <w:r w:rsidR="009F2875">
              <w:rPr>
                <w:szCs w:val="26"/>
              </w:rPr>
              <w:t xml:space="preserve">ection </w:t>
            </w:r>
            <w:r w:rsidR="008C52A8">
              <w:rPr>
                <w:szCs w:val="26"/>
              </w:rPr>
              <w:t>27(1)(c)</w:t>
            </w:r>
            <w:r w:rsidRPr="009E7387">
              <w:rPr>
                <w:szCs w:val="26"/>
              </w:rPr>
              <w:t xml:space="preserve">. </w:t>
            </w:r>
            <w:r>
              <w:rPr>
                <w:szCs w:val="26"/>
              </w:rPr>
              <w:t xml:space="preserve">The </w:t>
            </w:r>
            <w:r w:rsidR="00FB3778">
              <w:rPr>
                <w:szCs w:val="26"/>
              </w:rPr>
              <w:t>power to direct a change of name will not be extended to a name identical to a re</w:t>
            </w:r>
            <w:r>
              <w:rPr>
                <w:szCs w:val="26"/>
              </w:rPr>
              <w:t>served name.</w:t>
            </w:r>
          </w:p>
        </w:tc>
      </w:tr>
      <w:tr w:rsidR="00EE066B" w:rsidRPr="003E6052" w:rsidTr="00E461EB">
        <w:tc>
          <w:tcPr>
            <w:tcW w:w="1126" w:type="dxa"/>
            <w:vMerge/>
          </w:tcPr>
          <w:p w:rsidR="00EE066B" w:rsidRPr="000161A9" w:rsidRDefault="00EE066B" w:rsidP="000161A9">
            <w:pPr>
              <w:jc w:val="center"/>
              <w:rPr>
                <w:szCs w:val="26"/>
              </w:rPr>
            </w:pPr>
          </w:p>
        </w:tc>
        <w:tc>
          <w:tcPr>
            <w:tcW w:w="5253" w:type="dxa"/>
            <w:gridSpan w:val="2"/>
          </w:tcPr>
          <w:p w:rsidR="00EE066B" w:rsidRPr="008B4F61" w:rsidDel="007573E1" w:rsidRDefault="00EE066B" w:rsidP="007573E1">
            <w:pPr>
              <w:pStyle w:val="NoSpacing"/>
              <w:jc w:val="both"/>
              <w:rPr>
                <w:bCs/>
                <w:szCs w:val="26"/>
              </w:rPr>
            </w:pPr>
            <w:r>
              <w:rPr>
                <w:bCs/>
                <w:szCs w:val="26"/>
              </w:rPr>
              <w:t>Section 27(2C) provides that the Registrar may require a company to pay fees if he is satisfied that the company to which a direction to change name was given had applied for the registration under that name in bad faith.</w:t>
            </w:r>
          </w:p>
        </w:tc>
        <w:tc>
          <w:tcPr>
            <w:tcW w:w="4395" w:type="dxa"/>
            <w:shd w:val="clear" w:color="auto" w:fill="auto"/>
          </w:tcPr>
          <w:p w:rsidR="00EE066B" w:rsidRPr="008F4D65" w:rsidRDefault="000B749A" w:rsidP="000B749A">
            <w:pPr>
              <w:pStyle w:val="NoSpacing"/>
              <w:jc w:val="both"/>
              <w:rPr>
                <w:szCs w:val="26"/>
              </w:rPr>
            </w:pPr>
            <w:r>
              <w:rPr>
                <w:szCs w:val="26"/>
              </w:rPr>
              <w:t>Amend section 27(2C) to r</w:t>
            </w:r>
            <w:r w:rsidR="00EE066B">
              <w:rPr>
                <w:szCs w:val="26"/>
              </w:rPr>
              <w:t>eplace the reference to “fees” with “penalty”.</w:t>
            </w:r>
          </w:p>
        </w:tc>
        <w:tc>
          <w:tcPr>
            <w:tcW w:w="3119" w:type="dxa"/>
            <w:shd w:val="clear" w:color="auto" w:fill="auto"/>
          </w:tcPr>
          <w:p w:rsidR="00EE066B" w:rsidRPr="009E7387" w:rsidRDefault="00EE066B" w:rsidP="001277CE">
            <w:pPr>
              <w:pStyle w:val="NoSpacing"/>
              <w:jc w:val="both"/>
              <w:rPr>
                <w:szCs w:val="26"/>
              </w:rPr>
            </w:pPr>
            <w:r>
              <w:rPr>
                <w:szCs w:val="26"/>
              </w:rPr>
              <w:t>Technical amendment for clarity.</w:t>
            </w:r>
          </w:p>
        </w:tc>
      </w:tr>
      <w:tr w:rsidR="00902276" w:rsidRPr="003E6052" w:rsidTr="00E461EB">
        <w:tc>
          <w:tcPr>
            <w:tcW w:w="1126" w:type="dxa"/>
            <w:vMerge/>
          </w:tcPr>
          <w:p w:rsidR="00902276" w:rsidRPr="000161A9" w:rsidRDefault="00902276" w:rsidP="000161A9">
            <w:pPr>
              <w:jc w:val="center"/>
              <w:rPr>
                <w:szCs w:val="26"/>
              </w:rPr>
            </w:pPr>
          </w:p>
        </w:tc>
        <w:tc>
          <w:tcPr>
            <w:tcW w:w="5253" w:type="dxa"/>
            <w:gridSpan w:val="2"/>
          </w:tcPr>
          <w:p w:rsidR="00902276" w:rsidRPr="008B4F61" w:rsidRDefault="00902276" w:rsidP="00A01A77">
            <w:pPr>
              <w:pStyle w:val="NoSpacing"/>
              <w:jc w:val="both"/>
              <w:rPr>
                <w:bCs/>
                <w:szCs w:val="26"/>
              </w:rPr>
            </w:pPr>
            <w:r>
              <w:rPr>
                <w:bCs/>
                <w:szCs w:val="26"/>
              </w:rPr>
              <w:t xml:space="preserve">Section 27(4) defines </w:t>
            </w:r>
            <w:r w:rsidRPr="00902276">
              <w:rPr>
                <w:bCs/>
                <w:szCs w:val="26"/>
              </w:rPr>
              <w:t xml:space="preserve">the reference to a corporation </w:t>
            </w:r>
            <w:r w:rsidR="00A01A77">
              <w:rPr>
                <w:bCs/>
                <w:szCs w:val="26"/>
              </w:rPr>
              <w:t>as including “</w:t>
            </w:r>
            <w:r w:rsidRPr="00902276">
              <w:rPr>
                <w:bCs/>
                <w:szCs w:val="26"/>
              </w:rPr>
              <w:t>a reference to a corporation whether or not it is registered under Division 2 of Part XI</w:t>
            </w:r>
            <w:r w:rsidR="00A01A77">
              <w:rPr>
                <w:bCs/>
                <w:szCs w:val="26"/>
              </w:rPr>
              <w:t>”, f</w:t>
            </w:r>
            <w:r w:rsidR="00A01A77" w:rsidRPr="00902276">
              <w:rPr>
                <w:bCs/>
                <w:szCs w:val="26"/>
              </w:rPr>
              <w:t xml:space="preserve">or the purpose of section </w:t>
            </w:r>
            <w:r w:rsidR="00A01A77">
              <w:rPr>
                <w:bCs/>
                <w:szCs w:val="26"/>
              </w:rPr>
              <w:t>27</w:t>
            </w:r>
            <w:r w:rsidR="00A01A77" w:rsidRPr="00902276">
              <w:rPr>
                <w:bCs/>
                <w:szCs w:val="26"/>
              </w:rPr>
              <w:t>(2)</w:t>
            </w:r>
            <w:r w:rsidR="00A01A77">
              <w:rPr>
                <w:bCs/>
                <w:szCs w:val="26"/>
              </w:rPr>
              <w:t>.</w:t>
            </w:r>
          </w:p>
        </w:tc>
        <w:tc>
          <w:tcPr>
            <w:tcW w:w="4395" w:type="dxa"/>
            <w:shd w:val="clear" w:color="auto" w:fill="auto"/>
          </w:tcPr>
          <w:p w:rsidR="00902276" w:rsidRPr="00FC2A86" w:rsidRDefault="00524EFE" w:rsidP="00524EFE">
            <w:pPr>
              <w:pStyle w:val="NoSpacing"/>
              <w:jc w:val="both"/>
              <w:rPr>
                <w:szCs w:val="26"/>
              </w:rPr>
            </w:pPr>
            <w:r>
              <w:rPr>
                <w:szCs w:val="26"/>
              </w:rPr>
              <w:t>Repeal</w:t>
            </w:r>
            <w:r w:rsidR="00A01A77">
              <w:rPr>
                <w:szCs w:val="26"/>
              </w:rPr>
              <w:t xml:space="preserve"> section 27(4).</w:t>
            </w:r>
          </w:p>
        </w:tc>
        <w:tc>
          <w:tcPr>
            <w:tcW w:w="3119" w:type="dxa"/>
            <w:shd w:val="clear" w:color="auto" w:fill="auto"/>
          </w:tcPr>
          <w:p w:rsidR="00902276" w:rsidRPr="008B4F61" w:rsidRDefault="00A01A77" w:rsidP="00536556">
            <w:pPr>
              <w:pStyle w:val="NoSpacing"/>
              <w:jc w:val="both"/>
              <w:rPr>
                <w:szCs w:val="26"/>
              </w:rPr>
            </w:pPr>
            <w:r>
              <w:rPr>
                <w:szCs w:val="26"/>
              </w:rPr>
              <w:t>Technical amendment. The definition of “corporation” under s</w:t>
            </w:r>
            <w:r w:rsidR="00536556">
              <w:rPr>
                <w:szCs w:val="26"/>
              </w:rPr>
              <w:t xml:space="preserve">ection </w:t>
            </w:r>
            <w:r>
              <w:rPr>
                <w:szCs w:val="26"/>
              </w:rPr>
              <w:t>4(1) already include</w:t>
            </w:r>
            <w:r w:rsidR="00536556">
              <w:rPr>
                <w:szCs w:val="26"/>
              </w:rPr>
              <w:t>s</w:t>
            </w:r>
            <w:r>
              <w:rPr>
                <w:szCs w:val="26"/>
              </w:rPr>
              <w:t xml:space="preserve"> </w:t>
            </w:r>
            <w:r w:rsidRPr="00902276">
              <w:rPr>
                <w:bCs/>
                <w:szCs w:val="26"/>
              </w:rPr>
              <w:t>corporation whether or not it is registered under Division 2 of Part XI</w:t>
            </w:r>
            <w:r>
              <w:rPr>
                <w:bCs/>
                <w:szCs w:val="26"/>
              </w:rPr>
              <w:t>.</w:t>
            </w:r>
          </w:p>
        </w:tc>
      </w:tr>
      <w:tr w:rsidR="002C2B18" w:rsidRPr="008C52A8" w:rsidTr="00E461EB">
        <w:tc>
          <w:tcPr>
            <w:tcW w:w="1126" w:type="dxa"/>
            <w:vMerge/>
          </w:tcPr>
          <w:p w:rsidR="002C2B18" w:rsidRPr="008C52A8" w:rsidRDefault="002C2B18" w:rsidP="000161A9">
            <w:pPr>
              <w:jc w:val="center"/>
              <w:rPr>
                <w:szCs w:val="26"/>
              </w:rPr>
            </w:pPr>
          </w:p>
        </w:tc>
        <w:tc>
          <w:tcPr>
            <w:tcW w:w="5253" w:type="dxa"/>
            <w:gridSpan w:val="2"/>
          </w:tcPr>
          <w:p w:rsidR="00EE30CE" w:rsidRDefault="002C2B18" w:rsidP="00C0233B">
            <w:pPr>
              <w:pStyle w:val="NoSpacing"/>
              <w:jc w:val="both"/>
              <w:rPr>
                <w:bCs/>
                <w:szCs w:val="26"/>
              </w:rPr>
            </w:pPr>
            <w:r>
              <w:rPr>
                <w:bCs/>
                <w:szCs w:val="26"/>
              </w:rPr>
              <w:t>Section 2</w:t>
            </w:r>
            <w:r w:rsidR="007703E9">
              <w:rPr>
                <w:bCs/>
                <w:szCs w:val="26"/>
              </w:rPr>
              <w:t>7</w:t>
            </w:r>
            <w:r>
              <w:rPr>
                <w:bCs/>
                <w:szCs w:val="26"/>
              </w:rPr>
              <w:t>(10) allows a person to reserve the name of an intended company,</w:t>
            </w:r>
            <w:r w:rsidR="007703E9">
              <w:rPr>
                <w:bCs/>
                <w:szCs w:val="26"/>
              </w:rPr>
              <w:t xml:space="preserve"> the name to which</w:t>
            </w:r>
            <w:r>
              <w:rPr>
                <w:bCs/>
                <w:szCs w:val="26"/>
              </w:rPr>
              <w:t xml:space="preserve"> a company proposes to change its name or </w:t>
            </w:r>
            <w:r w:rsidR="007703E9">
              <w:rPr>
                <w:bCs/>
                <w:szCs w:val="26"/>
              </w:rPr>
              <w:t xml:space="preserve">the </w:t>
            </w:r>
            <w:r>
              <w:rPr>
                <w:bCs/>
                <w:szCs w:val="26"/>
              </w:rPr>
              <w:t xml:space="preserve">name of </w:t>
            </w:r>
            <w:r w:rsidR="00C0233B">
              <w:rPr>
                <w:bCs/>
                <w:szCs w:val="26"/>
              </w:rPr>
              <w:t xml:space="preserve">a </w:t>
            </w:r>
            <w:r>
              <w:rPr>
                <w:bCs/>
                <w:szCs w:val="26"/>
              </w:rPr>
              <w:t>foreign company.</w:t>
            </w:r>
          </w:p>
        </w:tc>
        <w:tc>
          <w:tcPr>
            <w:tcW w:w="4395" w:type="dxa"/>
            <w:shd w:val="clear" w:color="auto" w:fill="auto"/>
          </w:tcPr>
          <w:p w:rsidR="00EE30CE" w:rsidRDefault="002C2B18">
            <w:pPr>
              <w:pStyle w:val="NoSpacing"/>
              <w:jc w:val="both"/>
            </w:pPr>
            <w:r>
              <w:t xml:space="preserve">Repeal section 27(10)(c) </w:t>
            </w:r>
            <w:r w:rsidR="00DF33AE">
              <w:t>and</w:t>
            </w:r>
            <w:r>
              <w:t xml:space="preserve"> re-enact</w:t>
            </w:r>
            <w:r w:rsidR="007703E9">
              <w:t xml:space="preserve"> as</w:t>
            </w:r>
            <w:r>
              <w:t xml:space="preserve"> section 378(12).</w:t>
            </w:r>
          </w:p>
          <w:p w:rsidR="00EE30CE" w:rsidRDefault="00EE30CE">
            <w:pPr>
              <w:pStyle w:val="NoSpacing"/>
              <w:jc w:val="both"/>
            </w:pPr>
          </w:p>
          <w:p w:rsidR="00EE30CE" w:rsidRDefault="007703E9">
            <w:pPr>
              <w:pStyle w:val="NoSpacing"/>
              <w:jc w:val="both"/>
            </w:pPr>
            <w:r>
              <w:t>Consequential amendment to section 27(15). Provision relating to foreign companies is enacted as s</w:t>
            </w:r>
            <w:r w:rsidR="00A30C5B">
              <w:t xml:space="preserve">ection </w:t>
            </w:r>
            <w:r>
              <w:t>378(18).</w:t>
            </w:r>
          </w:p>
        </w:tc>
        <w:tc>
          <w:tcPr>
            <w:tcW w:w="3119" w:type="dxa"/>
            <w:shd w:val="clear" w:color="auto" w:fill="auto"/>
          </w:tcPr>
          <w:p w:rsidR="002C2B18" w:rsidRPr="00F63C58" w:rsidRDefault="00A5567E" w:rsidP="00F63C58">
            <w:pPr>
              <w:pStyle w:val="NoSpacing"/>
              <w:jc w:val="both"/>
              <w:rPr>
                <w:szCs w:val="26"/>
                <w:lang w:val="en-US"/>
              </w:rPr>
            </w:pPr>
            <w:r>
              <w:rPr>
                <w:szCs w:val="26"/>
              </w:rPr>
              <w:t>Consolidate provisions relating to foreign companies. No change in substance.</w:t>
            </w:r>
          </w:p>
        </w:tc>
      </w:tr>
      <w:tr w:rsidR="008C52A8" w:rsidRPr="008C52A8" w:rsidTr="00E461EB">
        <w:tc>
          <w:tcPr>
            <w:tcW w:w="1126" w:type="dxa"/>
            <w:vMerge/>
          </w:tcPr>
          <w:p w:rsidR="008C52A8" w:rsidRPr="008C52A8" w:rsidRDefault="008C52A8" w:rsidP="000161A9">
            <w:pPr>
              <w:jc w:val="center"/>
              <w:rPr>
                <w:szCs w:val="26"/>
              </w:rPr>
            </w:pPr>
          </w:p>
        </w:tc>
        <w:tc>
          <w:tcPr>
            <w:tcW w:w="5253" w:type="dxa"/>
            <w:gridSpan w:val="2"/>
          </w:tcPr>
          <w:p w:rsidR="008C52A8" w:rsidRPr="008847C9" w:rsidRDefault="002C2B18" w:rsidP="008847C9">
            <w:pPr>
              <w:pStyle w:val="NoSpacing"/>
              <w:jc w:val="both"/>
            </w:pPr>
            <w:r w:rsidRPr="00AF59F5">
              <w:rPr>
                <w:bCs/>
                <w:szCs w:val="26"/>
              </w:rPr>
              <w:t xml:space="preserve">Section 20 provides the Registrar with the powers to reject the registration of a company’s memorandum. The refusal to register the </w:t>
            </w:r>
            <w:r w:rsidRPr="00AF59F5">
              <w:rPr>
                <w:bCs/>
                <w:szCs w:val="26"/>
              </w:rPr>
              <w:lastRenderedPageBreak/>
              <w:t>memorandum is based on the grounds that the proposed company is likely to be used for an unlawful or prejudicial purpose, or that it will be contrary to national security or interest for the proposed company to be registered.</w:t>
            </w:r>
          </w:p>
        </w:tc>
        <w:tc>
          <w:tcPr>
            <w:tcW w:w="4395" w:type="dxa"/>
            <w:shd w:val="clear" w:color="auto" w:fill="auto"/>
          </w:tcPr>
          <w:p w:rsidR="002C2B18" w:rsidRPr="008847C9" w:rsidRDefault="002C2B18" w:rsidP="002C2B18">
            <w:pPr>
              <w:pStyle w:val="NoSpacing"/>
              <w:jc w:val="both"/>
            </w:pPr>
            <w:r w:rsidRPr="008847C9">
              <w:lastRenderedPageBreak/>
              <w:t xml:space="preserve">Amend section 27(12) to allow the Registrar to refuse the reservation of a proposed name on the basis that the </w:t>
            </w:r>
            <w:r w:rsidRPr="008847C9">
              <w:lastRenderedPageBreak/>
              <w:t>intended company is likely to be used for an unlawful purpose or for purposes prejudicial to public peace, welfare or good order in Singapore, or that it would be contrary to the national security or interest for the intended company to be registered.</w:t>
            </w:r>
          </w:p>
          <w:p w:rsidR="002C2B18" w:rsidRPr="008847C9" w:rsidRDefault="002C2B18" w:rsidP="002C2B18">
            <w:pPr>
              <w:pStyle w:val="NoSpacing"/>
              <w:jc w:val="both"/>
            </w:pPr>
          </w:p>
          <w:p w:rsidR="008C52A8" w:rsidRPr="002C2B18" w:rsidRDefault="002C2B18" w:rsidP="00882A35">
            <w:pPr>
              <w:pStyle w:val="NoSpacing"/>
              <w:jc w:val="both"/>
              <w:rPr>
                <w:bCs/>
                <w:szCs w:val="26"/>
              </w:rPr>
            </w:pPr>
            <w:r w:rsidRPr="008847C9">
              <w:t>Introduce section 27(12A) to provide that any person</w:t>
            </w:r>
            <w:r w:rsidR="00C24ADE">
              <w:t>,</w:t>
            </w:r>
            <w:r w:rsidRPr="008847C9">
              <w:t xml:space="preserve"> who is aggrieved by the decision of the Registrar</w:t>
            </w:r>
            <w:r w:rsidR="00C24ADE">
              <w:t>,</w:t>
            </w:r>
            <w:r w:rsidRPr="008847C9">
              <w:t xml:space="preserve"> may within 30 days after the decision appeal to the Minister.</w:t>
            </w:r>
          </w:p>
        </w:tc>
        <w:tc>
          <w:tcPr>
            <w:tcW w:w="3119" w:type="dxa"/>
            <w:shd w:val="clear" w:color="auto" w:fill="auto"/>
          </w:tcPr>
          <w:p w:rsidR="008C52A8" w:rsidRPr="008C52A8" w:rsidRDefault="002C2B18" w:rsidP="00DE318F">
            <w:pPr>
              <w:pStyle w:val="NoSpacing"/>
              <w:jc w:val="both"/>
              <w:rPr>
                <w:szCs w:val="26"/>
              </w:rPr>
            </w:pPr>
            <w:r w:rsidRPr="00AF59F5">
              <w:rPr>
                <w:szCs w:val="26"/>
                <w:lang w:val="en-US"/>
              </w:rPr>
              <w:lastRenderedPageBreak/>
              <w:t xml:space="preserve">Address anomaly in which ACRA currently has to allow the reservation of an </w:t>
            </w:r>
            <w:r w:rsidRPr="00AF59F5">
              <w:rPr>
                <w:szCs w:val="26"/>
                <w:lang w:val="en-US"/>
              </w:rPr>
              <w:lastRenderedPageBreak/>
              <w:t>intended company’s name even though the application for company registration is likely to be rejected subsequently.</w:t>
            </w:r>
          </w:p>
        </w:tc>
      </w:tr>
      <w:tr w:rsidR="00EE066B" w:rsidRPr="003E6052" w:rsidTr="00E461EB">
        <w:tc>
          <w:tcPr>
            <w:tcW w:w="1126" w:type="dxa"/>
            <w:vMerge/>
          </w:tcPr>
          <w:p w:rsidR="00EE066B" w:rsidRPr="000161A9" w:rsidRDefault="00EE066B" w:rsidP="000161A9">
            <w:pPr>
              <w:jc w:val="center"/>
              <w:rPr>
                <w:szCs w:val="26"/>
              </w:rPr>
            </w:pPr>
          </w:p>
        </w:tc>
        <w:tc>
          <w:tcPr>
            <w:tcW w:w="5253" w:type="dxa"/>
            <w:gridSpan w:val="2"/>
          </w:tcPr>
          <w:p w:rsidR="00EE066B" w:rsidRPr="00DE318F" w:rsidRDefault="00EE066B" w:rsidP="005C225C">
            <w:pPr>
              <w:pStyle w:val="NoSpacing"/>
              <w:jc w:val="both"/>
              <w:rPr>
                <w:bCs/>
                <w:szCs w:val="26"/>
              </w:rPr>
            </w:pPr>
            <w:r w:rsidRPr="008B4F61">
              <w:rPr>
                <w:bCs/>
                <w:szCs w:val="26"/>
              </w:rPr>
              <w:t>Section 27(12) allows a name to be reserved for a period of two months from the date of lodgement of the application.</w:t>
            </w:r>
            <w:r w:rsidRPr="008B4F61">
              <w:rPr>
                <w:szCs w:val="26"/>
              </w:rPr>
              <w:t xml:space="preserve"> ACRA may refer reserved names to a referral authority for checking before approving the name.</w:t>
            </w:r>
          </w:p>
        </w:tc>
        <w:tc>
          <w:tcPr>
            <w:tcW w:w="4395" w:type="dxa"/>
            <w:shd w:val="clear" w:color="auto" w:fill="auto"/>
          </w:tcPr>
          <w:p w:rsidR="00B51FD0" w:rsidRPr="00145460" w:rsidRDefault="00877BD0" w:rsidP="00882A35">
            <w:pPr>
              <w:pStyle w:val="NoSpacing"/>
              <w:jc w:val="both"/>
              <w:rPr>
                <w:strike/>
                <w:szCs w:val="26"/>
              </w:rPr>
            </w:pPr>
            <w:r w:rsidRPr="00145460">
              <w:rPr>
                <w:szCs w:val="26"/>
              </w:rPr>
              <w:t>Introduce section 27(12B) to a</w:t>
            </w:r>
            <w:r w:rsidR="00EE066B" w:rsidRPr="00145460">
              <w:rPr>
                <w:szCs w:val="26"/>
              </w:rPr>
              <w:t>mend the period for protecting a reserved name which will start from the date of the lodging of the application and end 60 days after the date of the approval of the application given by the Registrar</w:t>
            </w:r>
            <w:r w:rsidRPr="00145460">
              <w:rPr>
                <w:szCs w:val="26"/>
              </w:rPr>
              <w:t>, or on the date on which the Registrar informs the applicant that the application is rejected</w:t>
            </w:r>
            <w:r w:rsidR="00EE066B" w:rsidRPr="00145460">
              <w:rPr>
                <w:szCs w:val="26"/>
              </w:rPr>
              <w:t>.</w:t>
            </w:r>
          </w:p>
        </w:tc>
        <w:tc>
          <w:tcPr>
            <w:tcW w:w="3119" w:type="dxa"/>
            <w:shd w:val="clear" w:color="auto" w:fill="auto"/>
          </w:tcPr>
          <w:p w:rsidR="00EE066B" w:rsidRPr="00DE318F" w:rsidRDefault="00EE066B" w:rsidP="00DE318F">
            <w:pPr>
              <w:pStyle w:val="NoSpacing"/>
              <w:jc w:val="both"/>
              <w:rPr>
                <w:szCs w:val="26"/>
              </w:rPr>
            </w:pPr>
            <w:r w:rsidRPr="008B4F61">
              <w:rPr>
                <w:szCs w:val="26"/>
              </w:rPr>
              <w:t>Proposed change is to avoid a situation whereby the reservation period lapses before ACRA receives a reply from the referral authority.</w:t>
            </w:r>
          </w:p>
        </w:tc>
      </w:tr>
      <w:tr w:rsidR="006702D3" w:rsidRPr="003E6052" w:rsidTr="00E461EB">
        <w:tc>
          <w:tcPr>
            <w:tcW w:w="1126" w:type="dxa"/>
            <w:vMerge/>
          </w:tcPr>
          <w:p w:rsidR="006702D3" w:rsidRPr="000161A9" w:rsidRDefault="006702D3" w:rsidP="000161A9">
            <w:pPr>
              <w:jc w:val="center"/>
              <w:rPr>
                <w:szCs w:val="26"/>
              </w:rPr>
            </w:pPr>
          </w:p>
        </w:tc>
        <w:tc>
          <w:tcPr>
            <w:tcW w:w="5253" w:type="dxa"/>
            <w:gridSpan w:val="2"/>
          </w:tcPr>
          <w:p w:rsidR="006702D3" w:rsidRPr="008B4F61" w:rsidRDefault="006702D3" w:rsidP="00C45086">
            <w:pPr>
              <w:pStyle w:val="NoSpacing"/>
              <w:jc w:val="both"/>
              <w:rPr>
                <w:bCs/>
                <w:szCs w:val="26"/>
              </w:rPr>
            </w:pPr>
            <w:r w:rsidRPr="008B4F61">
              <w:rPr>
                <w:bCs/>
                <w:szCs w:val="26"/>
              </w:rPr>
              <w:t xml:space="preserve">Section 27(14) provides that during the period for which a name is reserved, another company cannot register using a name that is reserved under the </w:t>
            </w:r>
            <w:r>
              <w:rPr>
                <w:bCs/>
                <w:szCs w:val="26"/>
              </w:rPr>
              <w:t>CA</w:t>
            </w:r>
            <w:r w:rsidRPr="008B4F61">
              <w:rPr>
                <w:bCs/>
                <w:szCs w:val="26"/>
              </w:rPr>
              <w:t>. Section 27(14) only protects a reserved name under the CA and does not include names reserved under other Acts administered by ACRA.</w:t>
            </w:r>
          </w:p>
        </w:tc>
        <w:tc>
          <w:tcPr>
            <w:tcW w:w="4395" w:type="dxa"/>
            <w:shd w:val="clear" w:color="auto" w:fill="auto"/>
          </w:tcPr>
          <w:p w:rsidR="006702D3" w:rsidRDefault="006702D3" w:rsidP="00C45086">
            <w:pPr>
              <w:pStyle w:val="NoSpacing"/>
              <w:jc w:val="both"/>
              <w:rPr>
                <w:strike/>
                <w:szCs w:val="26"/>
              </w:rPr>
            </w:pPr>
            <w:r>
              <w:rPr>
                <w:szCs w:val="26"/>
              </w:rPr>
              <w:t xml:space="preserve">Repeal section 27(14) and introduce </w:t>
            </w:r>
            <w:r w:rsidRPr="008B4F61">
              <w:rPr>
                <w:szCs w:val="26"/>
              </w:rPr>
              <w:t>section 27</w:t>
            </w:r>
            <w:r>
              <w:rPr>
                <w:szCs w:val="26"/>
              </w:rPr>
              <w:t>(1)(c)</w:t>
            </w:r>
            <w:r w:rsidRPr="008B4F61">
              <w:rPr>
                <w:szCs w:val="26"/>
              </w:rPr>
              <w:t xml:space="preserve"> such that a </w:t>
            </w:r>
            <w:r w:rsidRPr="008F4D65">
              <w:rPr>
                <w:szCs w:val="26"/>
              </w:rPr>
              <w:t xml:space="preserve">company cannot </w:t>
            </w:r>
            <w:r>
              <w:rPr>
                <w:szCs w:val="26"/>
              </w:rPr>
              <w:t xml:space="preserve">be </w:t>
            </w:r>
            <w:r w:rsidRPr="008F4D65">
              <w:rPr>
                <w:szCs w:val="26"/>
              </w:rPr>
              <w:t>register</w:t>
            </w:r>
            <w:r>
              <w:rPr>
                <w:szCs w:val="26"/>
              </w:rPr>
              <w:t>ed</w:t>
            </w:r>
            <w:r w:rsidRPr="008F4D65">
              <w:rPr>
                <w:szCs w:val="26"/>
              </w:rPr>
              <w:t xml:space="preserve"> using a name that is reserved </w:t>
            </w:r>
            <w:r>
              <w:rPr>
                <w:szCs w:val="26"/>
              </w:rPr>
              <w:t xml:space="preserve">by a foreign company or </w:t>
            </w:r>
            <w:r w:rsidRPr="008F4D65">
              <w:rPr>
                <w:szCs w:val="26"/>
              </w:rPr>
              <w:t xml:space="preserve">under the </w:t>
            </w:r>
            <w:r>
              <w:rPr>
                <w:szCs w:val="26"/>
              </w:rPr>
              <w:t>Business Registration Act, Limited Liability Partnerships Act or Limited Partnerships Act</w:t>
            </w:r>
            <w:r w:rsidRPr="008F4D65">
              <w:rPr>
                <w:szCs w:val="26"/>
              </w:rPr>
              <w:t xml:space="preserve">, not just the </w:t>
            </w:r>
            <w:r w:rsidRPr="008F4D65">
              <w:rPr>
                <w:szCs w:val="26"/>
              </w:rPr>
              <w:lastRenderedPageBreak/>
              <w:t>CA.</w:t>
            </w:r>
          </w:p>
        </w:tc>
        <w:tc>
          <w:tcPr>
            <w:tcW w:w="3119" w:type="dxa"/>
            <w:shd w:val="clear" w:color="auto" w:fill="auto"/>
          </w:tcPr>
          <w:p w:rsidR="006702D3" w:rsidRDefault="006702D3" w:rsidP="00C45086">
            <w:pPr>
              <w:pStyle w:val="NoSpacing"/>
              <w:jc w:val="both"/>
              <w:rPr>
                <w:strike/>
                <w:szCs w:val="26"/>
              </w:rPr>
            </w:pPr>
            <w:r>
              <w:rPr>
                <w:szCs w:val="26"/>
              </w:rPr>
              <w:lastRenderedPageBreak/>
              <w:t>Proposed change is to a</w:t>
            </w:r>
            <w:r w:rsidRPr="008B4F61">
              <w:rPr>
                <w:szCs w:val="26"/>
              </w:rPr>
              <w:t xml:space="preserve">void </w:t>
            </w:r>
            <w:r w:rsidRPr="009E7387">
              <w:rPr>
                <w:szCs w:val="26"/>
              </w:rPr>
              <w:t>registration of a name which is the same as a name which is reserved by another entity</w:t>
            </w:r>
            <w:r w:rsidRPr="008B4F61">
              <w:rPr>
                <w:szCs w:val="26"/>
              </w:rPr>
              <w:t xml:space="preserve"> </w:t>
            </w:r>
            <w:r>
              <w:rPr>
                <w:szCs w:val="26"/>
              </w:rPr>
              <w:t>registered under another Act administered by ACRA</w:t>
            </w:r>
            <w:r w:rsidRPr="008B4F61">
              <w:rPr>
                <w:szCs w:val="26"/>
              </w:rPr>
              <w:t xml:space="preserve"> and </w:t>
            </w:r>
            <w:r>
              <w:rPr>
                <w:szCs w:val="26"/>
              </w:rPr>
              <w:lastRenderedPageBreak/>
              <w:t xml:space="preserve">to </w:t>
            </w:r>
            <w:r w:rsidRPr="008B4F61">
              <w:rPr>
                <w:szCs w:val="26"/>
              </w:rPr>
              <w:t>align with similar provisions in the</w:t>
            </w:r>
            <w:r>
              <w:rPr>
                <w:szCs w:val="26"/>
              </w:rPr>
              <w:t xml:space="preserve"> other</w:t>
            </w:r>
            <w:r w:rsidRPr="008B4F61">
              <w:rPr>
                <w:szCs w:val="26"/>
              </w:rPr>
              <w:t xml:space="preserve"> Acts administered by ACRA.</w:t>
            </w:r>
          </w:p>
        </w:tc>
      </w:tr>
      <w:tr w:rsidR="006702D3" w:rsidRPr="003E6052" w:rsidTr="00C42E01">
        <w:tc>
          <w:tcPr>
            <w:tcW w:w="13893" w:type="dxa"/>
            <w:gridSpan w:val="5"/>
            <w:shd w:val="clear" w:color="auto" w:fill="FBD4B4" w:themeFill="accent6" w:themeFillTint="66"/>
          </w:tcPr>
          <w:p w:rsidR="006702D3" w:rsidRPr="00194A9A" w:rsidRDefault="006702D3" w:rsidP="005D7D8D">
            <w:pPr>
              <w:jc w:val="both"/>
              <w:rPr>
                <w:bCs/>
                <w:szCs w:val="26"/>
              </w:rPr>
            </w:pPr>
            <w:r w:rsidRPr="00194A9A">
              <w:rPr>
                <w:b/>
                <w:szCs w:val="26"/>
              </w:rPr>
              <w:lastRenderedPageBreak/>
              <w:t>Change of names of companies</w:t>
            </w:r>
          </w:p>
        </w:tc>
      </w:tr>
      <w:tr w:rsidR="006702D3" w:rsidRPr="003E6052" w:rsidTr="00E461EB">
        <w:tc>
          <w:tcPr>
            <w:tcW w:w="1126" w:type="dxa"/>
            <w:vMerge w:val="restart"/>
          </w:tcPr>
          <w:p w:rsidR="006702D3" w:rsidRPr="000161A9" w:rsidRDefault="006702D3" w:rsidP="000161A9">
            <w:pPr>
              <w:jc w:val="center"/>
              <w:rPr>
                <w:szCs w:val="26"/>
              </w:rPr>
            </w:pPr>
            <w:r>
              <w:rPr>
                <w:szCs w:val="26"/>
              </w:rPr>
              <w:t>9</w:t>
            </w:r>
          </w:p>
        </w:tc>
        <w:tc>
          <w:tcPr>
            <w:tcW w:w="5253" w:type="dxa"/>
            <w:gridSpan w:val="2"/>
            <w:vMerge w:val="restart"/>
          </w:tcPr>
          <w:p w:rsidR="006702D3" w:rsidRDefault="006702D3">
            <w:pPr>
              <w:jc w:val="both"/>
              <w:rPr>
                <w:bCs/>
                <w:szCs w:val="26"/>
              </w:rPr>
            </w:pPr>
            <w:r w:rsidRPr="004C76BE">
              <w:rPr>
                <w:bCs/>
                <w:szCs w:val="26"/>
              </w:rPr>
              <w:t>Section 28 provides that the Registrar can direct a company to change its name if</w:t>
            </w:r>
            <w:r>
              <w:rPr>
                <w:bCs/>
                <w:szCs w:val="26"/>
              </w:rPr>
              <w:t>:</w:t>
            </w:r>
          </w:p>
          <w:p w:rsidR="006702D3" w:rsidRPr="006F4FC7" w:rsidRDefault="006702D3" w:rsidP="006F4FC7">
            <w:pPr>
              <w:pStyle w:val="ListParagraph"/>
              <w:numPr>
                <w:ilvl w:val="0"/>
                <w:numId w:val="45"/>
              </w:numPr>
              <w:jc w:val="both"/>
              <w:rPr>
                <w:bCs/>
                <w:szCs w:val="26"/>
              </w:rPr>
            </w:pPr>
            <w:r w:rsidRPr="006F4FC7">
              <w:rPr>
                <w:bCs/>
                <w:szCs w:val="26"/>
              </w:rPr>
              <w:t>it is a name by which the company could not be registered without contravention of section 27(1); or</w:t>
            </w:r>
          </w:p>
          <w:p w:rsidR="006702D3" w:rsidRPr="006F4FC7" w:rsidRDefault="006702D3" w:rsidP="00995E62">
            <w:pPr>
              <w:pStyle w:val="ListParagraph"/>
              <w:numPr>
                <w:ilvl w:val="0"/>
                <w:numId w:val="45"/>
              </w:numPr>
              <w:jc w:val="both"/>
              <w:rPr>
                <w:szCs w:val="26"/>
              </w:rPr>
            </w:pPr>
            <w:r w:rsidRPr="006F4FC7">
              <w:rPr>
                <w:bCs/>
                <w:szCs w:val="26"/>
              </w:rPr>
              <w:t xml:space="preserve">its name </w:t>
            </w:r>
            <w:r w:rsidRPr="006F4FC7">
              <w:rPr>
                <w:szCs w:val="26"/>
              </w:rPr>
              <w:t>resembles that of another company, corporation or business.</w:t>
            </w:r>
          </w:p>
        </w:tc>
        <w:tc>
          <w:tcPr>
            <w:tcW w:w="4395" w:type="dxa"/>
            <w:shd w:val="clear" w:color="auto" w:fill="auto"/>
          </w:tcPr>
          <w:p w:rsidR="006702D3" w:rsidRPr="0039312A" w:rsidRDefault="006702D3">
            <w:pPr>
              <w:jc w:val="both"/>
              <w:rPr>
                <w:szCs w:val="26"/>
                <w:highlight w:val="green"/>
              </w:rPr>
            </w:pPr>
            <w:r w:rsidRPr="00AF59F5">
              <w:rPr>
                <w:szCs w:val="26"/>
              </w:rPr>
              <w:t>Amend</w:t>
            </w:r>
            <w:r>
              <w:rPr>
                <w:szCs w:val="26"/>
              </w:rPr>
              <w:t xml:space="preserve"> section 28(3) and introduce section 28(3AA) to exclude section 27(1)(c) from the grounds for direction of a change of name.</w:t>
            </w:r>
          </w:p>
        </w:tc>
        <w:tc>
          <w:tcPr>
            <w:tcW w:w="3119" w:type="dxa"/>
            <w:shd w:val="clear" w:color="auto" w:fill="auto"/>
          </w:tcPr>
          <w:p w:rsidR="006702D3" w:rsidRPr="0039312A" w:rsidRDefault="006702D3" w:rsidP="00B96F8B">
            <w:pPr>
              <w:jc w:val="both"/>
              <w:rPr>
                <w:szCs w:val="26"/>
                <w:highlight w:val="green"/>
              </w:rPr>
            </w:pPr>
            <w:r w:rsidRPr="009E7387">
              <w:rPr>
                <w:szCs w:val="26"/>
              </w:rPr>
              <w:t>Related to</w:t>
            </w:r>
            <w:r>
              <w:rPr>
                <w:szCs w:val="26"/>
              </w:rPr>
              <w:t xml:space="preserve"> the new s</w:t>
            </w:r>
            <w:r w:rsidR="00DA7565">
              <w:rPr>
                <w:szCs w:val="26"/>
              </w:rPr>
              <w:t xml:space="preserve">ection </w:t>
            </w:r>
            <w:r>
              <w:rPr>
                <w:szCs w:val="26"/>
              </w:rPr>
              <w:t>27(1)(c</w:t>
            </w:r>
            <w:r w:rsidRPr="003A2872">
              <w:rPr>
                <w:szCs w:val="26"/>
              </w:rPr>
              <w:t>). T</w:t>
            </w:r>
            <w:r w:rsidRPr="00AF59F5">
              <w:rPr>
                <w:szCs w:val="26"/>
              </w:rPr>
              <w:t>he power to direct a change of name will not be extended to a name identical to a reserved name.</w:t>
            </w:r>
          </w:p>
        </w:tc>
      </w:tr>
      <w:tr w:rsidR="006702D3" w:rsidRPr="003E6052" w:rsidTr="00E461EB">
        <w:tc>
          <w:tcPr>
            <w:tcW w:w="1126" w:type="dxa"/>
            <w:vMerge/>
          </w:tcPr>
          <w:p w:rsidR="006702D3" w:rsidRPr="000161A9" w:rsidRDefault="006702D3" w:rsidP="000161A9">
            <w:pPr>
              <w:jc w:val="center"/>
              <w:rPr>
                <w:szCs w:val="26"/>
              </w:rPr>
            </w:pPr>
          </w:p>
        </w:tc>
        <w:tc>
          <w:tcPr>
            <w:tcW w:w="5253" w:type="dxa"/>
            <w:gridSpan w:val="2"/>
            <w:vMerge/>
          </w:tcPr>
          <w:p w:rsidR="006702D3" w:rsidRPr="004C76BE" w:rsidRDefault="006702D3" w:rsidP="00194A9A">
            <w:pPr>
              <w:jc w:val="both"/>
              <w:rPr>
                <w:bCs/>
                <w:szCs w:val="26"/>
              </w:rPr>
            </w:pPr>
          </w:p>
        </w:tc>
        <w:tc>
          <w:tcPr>
            <w:tcW w:w="4395" w:type="dxa"/>
            <w:shd w:val="clear" w:color="auto" w:fill="auto"/>
          </w:tcPr>
          <w:p w:rsidR="006702D3" w:rsidRPr="00C35D26" w:rsidRDefault="006702D3" w:rsidP="007211B3">
            <w:pPr>
              <w:jc w:val="both"/>
              <w:rPr>
                <w:rFonts w:eastAsiaTheme="majorEastAsia"/>
                <w:bCs/>
                <w:szCs w:val="26"/>
              </w:rPr>
            </w:pPr>
            <w:r w:rsidRPr="00B00885">
              <w:rPr>
                <w:szCs w:val="26"/>
              </w:rPr>
              <w:t>Amend section 28(3)(b) to include reference to “limited liability partnerships” and “limited partnerships”.</w:t>
            </w:r>
          </w:p>
        </w:tc>
        <w:tc>
          <w:tcPr>
            <w:tcW w:w="3119" w:type="dxa"/>
            <w:shd w:val="clear" w:color="auto" w:fill="auto"/>
          </w:tcPr>
          <w:p w:rsidR="006702D3" w:rsidRPr="00074CFD" w:rsidRDefault="006702D3">
            <w:pPr>
              <w:jc w:val="both"/>
              <w:rPr>
                <w:szCs w:val="26"/>
              </w:rPr>
            </w:pPr>
            <w:r>
              <w:rPr>
                <w:szCs w:val="26"/>
              </w:rPr>
              <w:t>Technical amendment to include the prohibition of the change of a name to one which resembles to that of a limited partnership or a limited liability partnership.</w:t>
            </w:r>
          </w:p>
        </w:tc>
      </w:tr>
      <w:tr w:rsidR="006702D3" w:rsidRPr="003E6052" w:rsidTr="00E461EB">
        <w:tc>
          <w:tcPr>
            <w:tcW w:w="1126" w:type="dxa"/>
            <w:vMerge/>
          </w:tcPr>
          <w:p w:rsidR="006702D3" w:rsidRPr="000161A9" w:rsidRDefault="006702D3" w:rsidP="000161A9">
            <w:pPr>
              <w:jc w:val="center"/>
              <w:rPr>
                <w:szCs w:val="26"/>
              </w:rPr>
            </w:pPr>
          </w:p>
        </w:tc>
        <w:tc>
          <w:tcPr>
            <w:tcW w:w="5253" w:type="dxa"/>
            <w:gridSpan w:val="2"/>
          </w:tcPr>
          <w:p w:rsidR="006702D3" w:rsidRPr="004C76BE" w:rsidRDefault="006702D3" w:rsidP="00300D6D">
            <w:pPr>
              <w:jc w:val="both"/>
              <w:rPr>
                <w:bCs/>
                <w:szCs w:val="26"/>
              </w:rPr>
            </w:pPr>
            <w:r>
              <w:rPr>
                <w:bCs/>
                <w:szCs w:val="26"/>
              </w:rPr>
              <w:t>Section 28(3C) provides that the Registrar may require a company to pay fees if he is satisfied that the company to which a direction to change name was given had applied for the registration under that name in bad faith.</w:t>
            </w:r>
          </w:p>
        </w:tc>
        <w:tc>
          <w:tcPr>
            <w:tcW w:w="4395" w:type="dxa"/>
            <w:shd w:val="clear" w:color="auto" w:fill="auto"/>
          </w:tcPr>
          <w:p w:rsidR="006702D3" w:rsidRPr="00074CFD" w:rsidRDefault="006702D3" w:rsidP="00C45086">
            <w:pPr>
              <w:jc w:val="both"/>
              <w:rPr>
                <w:szCs w:val="26"/>
              </w:rPr>
            </w:pPr>
            <w:r>
              <w:rPr>
                <w:szCs w:val="26"/>
              </w:rPr>
              <w:t>Replace the reference to “fees” with “penalty”</w:t>
            </w:r>
            <w:r w:rsidR="00C45086">
              <w:rPr>
                <w:szCs w:val="26"/>
              </w:rPr>
              <w:t xml:space="preserve"> in section 28(3C)</w:t>
            </w:r>
            <w:r>
              <w:rPr>
                <w:szCs w:val="26"/>
              </w:rPr>
              <w:t>.</w:t>
            </w:r>
          </w:p>
        </w:tc>
        <w:tc>
          <w:tcPr>
            <w:tcW w:w="3119" w:type="dxa"/>
            <w:shd w:val="clear" w:color="auto" w:fill="auto"/>
          </w:tcPr>
          <w:p w:rsidR="006702D3" w:rsidRPr="00074CFD" w:rsidRDefault="006702D3" w:rsidP="00AD6202">
            <w:pPr>
              <w:jc w:val="both"/>
              <w:rPr>
                <w:szCs w:val="26"/>
              </w:rPr>
            </w:pPr>
            <w:r>
              <w:rPr>
                <w:szCs w:val="26"/>
              </w:rPr>
              <w:t>Technical amendment for clarity.</w:t>
            </w:r>
          </w:p>
        </w:tc>
      </w:tr>
      <w:tr w:rsidR="006702D3" w:rsidRPr="003E6052" w:rsidTr="00C42E01">
        <w:tc>
          <w:tcPr>
            <w:tcW w:w="13893" w:type="dxa"/>
            <w:gridSpan w:val="5"/>
            <w:shd w:val="clear" w:color="auto" w:fill="FBD4B4" w:themeFill="accent6" w:themeFillTint="66"/>
          </w:tcPr>
          <w:p w:rsidR="006702D3" w:rsidRPr="00074CFD" w:rsidRDefault="006702D3" w:rsidP="004C76BE">
            <w:pPr>
              <w:jc w:val="both"/>
              <w:rPr>
                <w:szCs w:val="26"/>
              </w:rPr>
            </w:pPr>
            <w:r>
              <w:rPr>
                <w:b/>
                <w:szCs w:val="26"/>
                <w:lang w:val="en-US"/>
              </w:rPr>
              <w:t>Omission of “Limited” or “Berhad” in name of charitable and other companies</w:t>
            </w:r>
          </w:p>
        </w:tc>
      </w:tr>
      <w:tr w:rsidR="006702D3" w:rsidRPr="003E6052" w:rsidTr="00E461EB">
        <w:tc>
          <w:tcPr>
            <w:tcW w:w="1126" w:type="dxa"/>
          </w:tcPr>
          <w:p w:rsidR="006702D3" w:rsidRPr="000161A9" w:rsidRDefault="006702D3" w:rsidP="00591CC3">
            <w:pPr>
              <w:jc w:val="center"/>
              <w:rPr>
                <w:szCs w:val="26"/>
              </w:rPr>
            </w:pPr>
            <w:r>
              <w:rPr>
                <w:szCs w:val="26"/>
              </w:rPr>
              <w:t>10 &amp; 11</w:t>
            </w:r>
          </w:p>
        </w:tc>
        <w:tc>
          <w:tcPr>
            <w:tcW w:w="5253" w:type="dxa"/>
            <w:gridSpan w:val="2"/>
          </w:tcPr>
          <w:p w:rsidR="006702D3" w:rsidRPr="00AF3DD1" w:rsidRDefault="006702D3" w:rsidP="00E12550">
            <w:pPr>
              <w:pStyle w:val="NoSpacing"/>
              <w:jc w:val="both"/>
              <w:rPr>
                <w:bCs/>
                <w:szCs w:val="26"/>
              </w:rPr>
            </w:pPr>
            <w:r w:rsidRPr="00AF3DD1">
              <w:rPr>
                <w:bCs/>
                <w:szCs w:val="26"/>
              </w:rPr>
              <w:t xml:space="preserve">Section 29(1) and 29(2) </w:t>
            </w:r>
            <w:r>
              <w:rPr>
                <w:bCs/>
                <w:szCs w:val="26"/>
              </w:rPr>
              <w:t xml:space="preserve">respectively </w:t>
            </w:r>
            <w:r w:rsidRPr="00AF3DD1">
              <w:rPr>
                <w:bCs/>
                <w:szCs w:val="26"/>
              </w:rPr>
              <w:t>provide</w:t>
            </w:r>
            <w:r>
              <w:rPr>
                <w:bCs/>
                <w:szCs w:val="26"/>
              </w:rPr>
              <w:t>s</w:t>
            </w:r>
            <w:r w:rsidRPr="00AF3DD1">
              <w:rPr>
                <w:bCs/>
                <w:szCs w:val="26"/>
              </w:rPr>
              <w:t xml:space="preserve"> that the Minister can approve the registration of a limited company without “limited” or “berhad”</w:t>
            </w:r>
            <w:r>
              <w:rPr>
                <w:bCs/>
                <w:szCs w:val="26"/>
              </w:rPr>
              <w:t xml:space="preserve"> in its name, or approve the change of a limited company’s name to omit “limited” or “berhad”</w:t>
            </w:r>
            <w:r w:rsidRPr="00AF3DD1">
              <w:rPr>
                <w:bCs/>
                <w:szCs w:val="26"/>
              </w:rPr>
              <w:t>, if certain criteria are fulfilled.</w:t>
            </w:r>
          </w:p>
        </w:tc>
        <w:tc>
          <w:tcPr>
            <w:tcW w:w="4395" w:type="dxa"/>
            <w:shd w:val="clear" w:color="auto" w:fill="auto"/>
          </w:tcPr>
          <w:p w:rsidR="006702D3" w:rsidRPr="00074CFD" w:rsidRDefault="006702D3" w:rsidP="00043AC4">
            <w:pPr>
              <w:pStyle w:val="NoSpacing"/>
              <w:jc w:val="both"/>
              <w:rPr>
                <w:szCs w:val="26"/>
                <w:lang w:val="en-US"/>
              </w:rPr>
            </w:pPr>
            <w:r>
              <w:rPr>
                <w:szCs w:val="26"/>
                <w:lang w:val="en-US"/>
              </w:rPr>
              <w:t>Amend section 29 and introduce section 29A:</w:t>
            </w:r>
          </w:p>
          <w:p w:rsidR="006702D3" w:rsidRPr="00074CFD" w:rsidRDefault="006702D3" w:rsidP="00924C35">
            <w:pPr>
              <w:pStyle w:val="NoSpacing"/>
              <w:numPr>
                <w:ilvl w:val="0"/>
                <w:numId w:val="35"/>
              </w:numPr>
              <w:jc w:val="both"/>
              <w:rPr>
                <w:szCs w:val="26"/>
                <w:lang w:val="en-US"/>
              </w:rPr>
            </w:pPr>
            <w:r w:rsidRPr="007211B3">
              <w:rPr>
                <w:szCs w:val="26"/>
                <w:lang w:val="en-US"/>
              </w:rPr>
              <w:t xml:space="preserve">To allow charitable companies to change their names to omit the word “limited” or “berhad” upon applying to </w:t>
            </w:r>
            <w:r>
              <w:rPr>
                <w:szCs w:val="26"/>
                <w:lang w:val="en-US"/>
              </w:rPr>
              <w:t>the Registrar</w:t>
            </w:r>
            <w:r w:rsidR="005C3C08" w:rsidRPr="00D2456F">
              <w:rPr>
                <w:szCs w:val="26"/>
                <w:lang w:val="en-US"/>
              </w:rPr>
              <w:t>;</w:t>
            </w:r>
          </w:p>
          <w:p w:rsidR="006702D3" w:rsidRPr="00074CFD" w:rsidRDefault="006702D3" w:rsidP="00924C35">
            <w:pPr>
              <w:pStyle w:val="NoSpacing"/>
              <w:numPr>
                <w:ilvl w:val="0"/>
                <w:numId w:val="35"/>
              </w:numPr>
              <w:jc w:val="both"/>
              <w:rPr>
                <w:szCs w:val="26"/>
                <w:lang w:val="en-US"/>
              </w:rPr>
            </w:pPr>
            <w:r>
              <w:rPr>
                <w:szCs w:val="26"/>
                <w:lang w:val="en-US"/>
              </w:rPr>
              <w:lastRenderedPageBreak/>
              <w:t>For the Registrar to consider and decide on section 29(1) and (2) applications</w:t>
            </w:r>
            <w:r w:rsidR="005C3C08" w:rsidRPr="00D2456F">
              <w:rPr>
                <w:szCs w:val="26"/>
                <w:lang w:val="en-US"/>
              </w:rPr>
              <w:t>;</w:t>
            </w:r>
          </w:p>
          <w:p w:rsidR="006702D3" w:rsidRPr="00076049" w:rsidRDefault="006702D3" w:rsidP="00076049">
            <w:pPr>
              <w:pStyle w:val="NoSpacing"/>
              <w:numPr>
                <w:ilvl w:val="0"/>
                <w:numId w:val="35"/>
              </w:numPr>
              <w:jc w:val="both"/>
              <w:rPr>
                <w:szCs w:val="26"/>
                <w:lang w:val="en-US"/>
              </w:rPr>
            </w:pPr>
            <w:r>
              <w:rPr>
                <w:szCs w:val="26"/>
                <w:lang w:val="en-US"/>
              </w:rPr>
              <w:t>For the Registrar to have the power to require companies that cease to meet the criteria under section 29(1) and (2) or cease to be charitable companies to reinstate the word “limited” or “berhad” into their companies’ names.</w:t>
            </w:r>
          </w:p>
        </w:tc>
        <w:tc>
          <w:tcPr>
            <w:tcW w:w="3119" w:type="dxa"/>
            <w:shd w:val="clear" w:color="auto" w:fill="auto"/>
          </w:tcPr>
          <w:p w:rsidR="006702D3" w:rsidRPr="00074CFD" w:rsidRDefault="006702D3" w:rsidP="00AF3DD1">
            <w:pPr>
              <w:jc w:val="both"/>
              <w:rPr>
                <w:szCs w:val="26"/>
              </w:rPr>
            </w:pPr>
            <w:r>
              <w:rPr>
                <w:szCs w:val="26"/>
              </w:rPr>
              <w:lastRenderedPageBreak/>
              <w:t>Simplify and streamline process for section 29(1) and (2) applications.</w:t>
            </w:r>
          </w:p>
        </w:tc>
      </w:tr>
      <w:tr w:rsidR="006702D3" w:rsidRPr="003E6052" w:rsidTr="00C42E01">
        <w:tc>
          <w:tcPr>
            <w:tcW w:w="13893" w:type="dxa"/>
            <w:gridSpan w:val="5"/>
            <w:shd w:val="clear" w:color="auto" w:fill="FBD4B4" w:themeFill="accent6" w:themeFillTint="66"/>
          </w:tcPr>
          <w:p w:rsidR="006702D3" w:rsidRPr="004C76BE" w:rsidRDefault="006702D3" w:rsidP="008D5B6B">
            <w:pPr>
              <w:jc w:val="both"/>
              <w:rPr>
                <w:bCs/>
                <w:szCs w:val="26"/>
              </w:rPr>
            </w:pPr>
            <w:r w:rsidRPr="004C76BE">
              <w:rPr>
                <w:b/>
                <w:szCs w:val="26"/>
              </w:rPr>
              <w:lastRenderedPageBreak/>
              <w:t>Alteration</w:t>
            </w:r>
            <w:r>
              <w:rPr>
                <w:b/>
                <w:szCs w:val="26"/>
              </w:rPr>
              <w:t>s</w:t>
            </w:r>
            <w:r w:rsidRPr="004C76BE">
              <w:rPr>
                <w:b/>
                <w:szCs w:val="26"/>
              </w:rPr>
              <w:t xml:space="preserve"> of objects</w:t>
            </w:r>
          </w:p>
        </w:tc>
      </w:tr>
      <w:tr w:rsidR="006702D3" w:rsidRPr="003E6052" w:rsidTr="00E461EB">
        <w:tc>
          <w:tcPr>
            <w:tcW w:w="1126" w:type="dxa"/>
          </w:tcPr>
          <w:p w:rsidR="006702D3" w:rsidRPr="000161A9" w:rsidRDefault="006702D3" w:rsidP="000161A9">
            <w:pPr>
              <w:jc w:val="center"/>
              <w:rPr>
                <w:szCs w:val="26"/>
              </w:rPr>
            </w:pPr>
            <w:r>
              <w:rPr>
                <w:szCs w:val="26"/>
              </w:rPr>
              <w:t>12</w:t>
            </w:r>
          </w:p>
        </w:tc>
        <w:tc>
          <w:tcPr>
            <w:tcW w:w="5253" w:type="dxa"/>
            <w:gridSpan w:val="2"/>
          </w:tcPr>
          <w:p w:rsidR="006702D3" w:rsidRPr="0080284E" w:rsidRDefault="006702D3" w:rsidP="005D7D8D">
            <w:pPr>
              <w:jc w:val="both"/>
              <w:rPr>
                <w:rFonts w:eastAsia="SimSun"/>
                <w:szCs w:val="26"/>
              </w:rPr>
            </w:pPr>
            <w:r>
              <w:rPr>
                <w:rFonts w:eastAsia="SimSun"/>
                <w:bCs/>
                <w:szCs w:val="26"/>
              </w:rPr>
              <w:t>Section 33(5)</w:t>
            </w:r>
            <w:r>
              <w:rPr>
                <w:rFonts w:eastAsia="SimSun"/>
                <w:szCs w:val="26"/>
              </w:rPr>
              <w:t xml:space="preserve"> allows holders of not less than 5% of the total “number of issued shares” of the company to apply to court to cancel an alteration of a company’s objects. Section 33(5A) provides that a</w:t>
            </w:r>
            <w:r>
              <w:rPr>
                <w:szCs w:val="26"/>
              </w:rPr>
              <w:t>ny of the company’s “issued share capital” held as treasury shares is disregarded for the purpose of subsection (5).</w:t>
            </w:r>
          </w:p>
        </w:tc>
        <w:tc>
          <w:tcPr>
            <w:tcW w:w="4395" w:type="dxa"/>
            <w:shd w:val="clear" w:color="auto" w:fill="auto"/>
          </w:tcPr>
          <w:p w:rsidR="006702D3" w:rsidRPr="0080284E" w:rsidRDefault="006702D3" w:rsidP="00BB7EC1">
            <w:pPr>
              <w:jc w:val="both"/>
              <w:rPr>
                <w:rFonts w:eastAsia="SimSun"/>
                <w:szCs w:val="26"/>
              </w:rPr>
            </w:pPr>
            <w:r>
              <w:rPr>
                <w:szCs w:val="26"/>
              </w:rPr>
              <w:t>Replace “issued share capital” in section 33(5A) with “issued shares”.</w:t>
            </w:r>
          </w:p>
        </w:tc>
        <w:tc>
          <w:tcPr>
            <w:tcW w:w="3119" w:type="dxa"/>
            <w:shd w:val="clear" w:color="auto" w:fill="auto"/>
          </w:tcPr>
          <w:p w:rsidR="006702D3" w:rsidRPr="00BB7EC1" w:rsidRDefault="006702D3" w:rsidP="00BB7EC1">
            <w:pPr>
              <w:jc w:val="both"/>
              <w:rPr>
                <w:szCs w:val="26"/>
              </w:rPr>
            </w:pPr>
            <w:r w:rsidRPr="00BB7EC1">
              <w:rPr>
                <w:szCs w:val="26"/>
              </w:rPr>
              <w:t>Technical amendment for consistency with the wordings in section 33(5).</w:t>
            </w:r>
          </w:p>
        </w:tc>
      </w:tr>
      <w:tr w:rsidR="006702D3" w:rsidRPr="003E6052" w:rsidTr="00C42E01">
        <w:tc>
          <w:tcPr>
            <w:tcW w:w="13893" w:type="dxa"/>
            <w:gridSpan w:val="5"/>
            <w:shd w:val="clear" w:color="auto" w:fill="FBD4B4" w:themeFill="accent6" w:themeFillTint="66"/>
          </w:tcPr>
          <w:p w:rsidR="006702D3" w:rsidRPr="00BB7EC1" w:rsidRDefault="006702D3" w:rsidP="005D7D8D">
            <w:pPr>
              <w:jc w:val="both"/>
              <w:rPr>
                <w:bCs/>
                <w:szCs w:val="26"/>
              </w:rPr>
            </w:pPr>
            <w:r w:rsidRPr="00BB7EC1">
              <w:rPr>
                <w:b/>
                <w:szCs w:val="26"/>
              </w:rPr>
              <w:t>Shares may be issued for no consideration</w:t>
            </w:r>
          </w:p>
        </w:tc>
      </w:tr>
      <w:tr w:rsidR="006702D3" w:rsidRPr="003E6052" w:rsidTr="00E461EB">
        <w:tc>
          <w:tcPr>
            <w:tcW w:w="1126" w:type="dxa"/>
          </w:tcPr>
          <w:p w:rsidR="006702D3" w:rsidRPr="0058343E" w:rsidRDefault="006702D3" w:rsidP="0058343E">
            <w:pPr>
              <w:jc w:val="center"/>
              <w:rPr>
                <w:szCs w:val="26"/>
              </w:rPr>
            </w:pPr>
            <w:r>
              <w:rPr>
                <w:szCs w:val="26"/>
              </w:rPr>
              <w:t>13</w:t>
            </w:r>
          </w:p>
        </w:tc>
        <w:tc>
          <w:tcPr>
            <w:tcW w:w="5253" w:type="dxa"/>
            <w:gridSpan w:val="2"/>
          </w:tcPr>
          <w:p w:rsidR="006702D3" w:rsidRPr="00BB7EC1" w:rsidRDefault="006702D3" w:rsidP="005D7D8D">
            <w:pPr>
              <w:pStyle w:val="NoSpacing"/>
              <w:jc w:val="both"/>
              <w:rPr>
                <w:szCs w:val="26"/>
              </w:rPr>
            </w:pPr>
            <w:r w:rsidRPr="00BB7EC1">
              <w:rPr>
                <w:szCs w:val="26"/>
              </w:rPr>
              <w:t>The CA is silent on the issuance of shares for no consideration although a company has full capacity to undertake any activity or enter into any transaction under section 23.</w:t>
            </w:r>
          </w:p>
        </w:tc>
        <w:tc>
          <w:tcPr>
            <w:tcW w:w="4395" w:type="dxa"/>
            <w:shd w:val="clear" w:color="auto" w:fill="auto"/>
          </w:tcPr>
          <w:p w:rsidR="006702D3" w:rsidRPr="00BB7EC1" w:rsidRDefault="006702D3" w:rsidP="00882A35">
            <w:pPr>
              <w:pStyle w:val="NoSpacing"/>
              <w:jc w:val="both"/>
              <w:rPr>
                <w:szCs w:val="26"/>
              </w:rPr>
            </w:pPr>
            <w:r w:rsidRPr="00BB7EC1">
              <w:rPr>
                <w:szCs w:val="26"/>
              </w:rPr>
              <w:t>Introduce section 6</w:t>
            </w:r>
            <w:r>
              <w:rPr>
                <w:szCs w:val="26"/>
              </w:rPr>
              <w:t>7</w:t>
            </w:r>
            <w:r w:rsidRPr="00BB7EC1">
              <w:rPr>
                <w:szCs w:val="26"/>
              </w:rPr>
              <w:t xml:space="preserve"> to clarify that a company may issue shares for no consideration, if its </w:t>
            </w:r>
            <w:r>
              <w:rPr>
                <w:szCs w:val="26"/>
              </w:rPr>
              <w:t>constitution</w:t>
            </w:r>
            <w:r w:rsidRPr="00BB7EC1">
              <w:rPr>
                <w:szCs w:val="26"/>
              </w:rPr>
              <w:t xml:space="preserve"> permit</w:t>
            </w:r>
            <w:r>
              <w:rPr>
                <w:szCs w:val="26"/>
              </w:rPr>
              <w:t>s</w:t>
            </w:r>
            <w:r w:rsidRPr="00BB7EC1">
              <w:rPr>
                <w:szCs w:val="26"/>
              </w:rPr>
              <w:t>.</w:t>
            </w:r>
          </w:p>
        </w:tc>
        <w:tc>
          <w:tcPr>
            <w:tcW w:w="3119" w:type="dxa"/>
            <w:shd w:val="clear" w:color="auto" w:fill="auto"/>
          </w:tcPr>
          <w:p w:rsidR="006702D3" w:rsidRPr="00CA3700" w:rsidRDefault="006702D3" w:rsidP="00CA3700">
            <w:pPr>
              <w:pStyle w:val="NoSpacing"/>
              <w:jc w:val="both"/>
              <w:rPr>
                <w:szCs w:val="26"/>
              </w:rPr>
            </w:pPr>
            <w:r w:rsidRPr="00CA3700">
              <w:rPr>
                <w:szCs w:val="26"/>
              </w:rPr>
              <w:t>Technical amendment for clarity.</w:t>
            </w:r>
          </w:p>
        </w:tc>
      </w:tr>
      <w:tr w:rsidR="006702D3" w:rsidRPr="003E6052" w:rsidTr="00C42E01">
        <w:tc>
          <w:tcPr>
            <w:tcW w:w="13893" w:type="dxa"/>
            <w:gridSpan w:val="5"/>
            <w:shd w:val="clear" w:color="auto" w:fill="FBD4B4" w:themeFill="accent6" w:themeFillTint="66"/>
          </w:tcPr>
          <w:p w:rsidR="006702D3" w:rsidRPr="00887772" w:rsidRDefault="006702D3" w:rsidP="005D7D8D">
            <w:pPr>
              <w:jc w:val="both"/>
              <w:rPr>
                <w:bCs/>
                <w:szCs w:val="26"/>
              </w:rPr>
            </w:pPr>
            <w:r w:rsidRPr="00887772">
              <w:rPr>
                <w:b/>
                <w:szCs w:val="26"/>
              </w:rPr>
              <w:t>Redeemable preference shares</w:t>
            </w:r>
          </w:p>
        </w:tc>
      </w:tr>
      <w:tr w:rsidR="006702D3" w:rsidRPr="003E6052" w:rsidTr="00E461EB">
        <w:tc>
          <w:tcPr>
            <w:tcW w:w="1126" w:type="dxa"/>
          </w:tcPr>
          <w:p w:rsidR="006702D3" w:rsidRPr="0058343E" w:rsidRDefault="006702D3" w:rsidP="00300D6D">
            <w:pPr>
              <w:jc w:val="center"/>
              <w:rPr>
                <w:szCs w:val="26"/>
              </w:rPr>
            </w:pPr>
            <w:r>
              <w:rPr>
                <w:szCs w:val="26"/>
              </w:rPr>
              <w:t>14 &amp;18</w:t>
            </w:r>
          </w:p>
        </w:tc>
        <w:tc>
          <w:tcPr>
            <w:tcW w:w="5253" w:type="dxa"/>
            <w:gridSpan w:val="2"/>
          </w:tcPr>
          <w:p w:rsidR="006702D3" w:rsidRPr="00887772" w:rsidRDefault="006702D3" w:rsidP="005D7D8D">
            <w:pPr>
              <w:jc w:val="both"/>
              <w:rPr>
                <w:bCs/>
                <w:szCs w:val="26"/>
              </w:rPr>
            </w:pPr>
            <w:r w:rsidRPr="00887772">
              <w:rPr>
                <w:bCs/>
                <w:szCs w:val="26"/>
              </w:rPr>
              <w:t>Section 70</w:t>
            </w:r>
            <w:r>
              <w:rPr>
                <w:bCs/>
                <w:szCs w:val="26"/>
              </w:rPr>
              <w:t>(2)</w:t>
            </w:r>
            <w:r w:rsidRPr="00887772">
              <w:rPr>
                <w:bCs/>
                <w:szCs w:val="26"/>
              </w:rPr>
              <w:t xml:space="preserve"> provides that the redemption of fully paid redeemable preference shares does not reduce the capital of the company.</w:t>
            </w:r>
          </w:p>
        </w:tc>
        <w:tc>
          <w:tcPr>
            <w:tcW w:w="4395" w:type="dxa"/>
            <w:shd w:val="clear" w:color="auto" w:fill="auto"/>
          </w:tcPr>
          <w:p w:rsidR="006702D3" w:rsidRPr="00887772" w:rsidRDefault="006702D3" w:rsidP="00882A35">
            <w:pPr>
              <w:jc w:val="both"/>
              <w:rPr>
                <w:bCs/>
                <w:szCs w:val="26"/>
              </w:rPr>
            </w:pPr>
            <w:r>
              <w:rPr>
                <w:szCs w:val="26"/>
              </w:rPr>
              <w:t>Repeal section 70(2) and introduce section 78A(5A) to clarify that redemption of redeemable preference shares does not contravene provisions on reduction of share capital</w:t>
            </w:r>
            <w:r w:rsidRPr="00887772">
              <w:rPr>
                <w:szCs w:val="26"/>
              </w:rPr>
              <w:t>.</w:t>
            </w:r>
          </w:p>
        </w:tc>
        <w:tc>
          <w:tcPr>
            <w:tcW w:w="3119" w:type="dxa"/>
            <w:shd w:val="clear" w:color="auto" w:fill="auto"/>
          </w:tcPr>
          <w:p w:rsidR="006702D3" w:rsidRPr="00887772" w:rsidRDefault="006702D3" w:rsidP="00887772">
            <w:pPr>
              <w:jc w:val="both"/>
              <w:rPr>
                <w:szCs w:val="26"/>
              </w:rPr>
            </w:pPr>
            <w:r w:rsidRPr="00887772">
              <w:rPr>
                <w:szCs w:val="26"/>
              </w:rPr>
              <w:t>T</w:t>
            </w:r>
            <w:r>
              <w:rPr>
                <w:szCs w:val="26"/>
              </w:rPr>
              <w:t>echnical amendment for clarity.</w:t>
            </w:r>
          </w:p>
        </w:tc>
      </w:tr>
      <w:tr w:rsidR="006702D3" w:rsidRPr="00260132" w:rsidTr="00E461EB">
        <w:tc>
          <w:tcPr>
            <w:tcW w:w="1126" w:type="dxa"/>
          </w:tcPr>
          <w:p w:rsidR="006702D3" w:rsidRPr="00260132" w:rsidRDefault="006702D3" w:rsidP="00260132">
            <w:pPr>
              <w:jc w:val="center"/>
              <w:rPr>
                <w:szCs w:val="26"/>
              </w:rPr>
            </w:pPr>
            <w:r>
              <w:rPr>
                <w:szCs w:val="26"/>
              </w:rPr>
              <w:lastRenderedPageBreak/>
              <w:t>14</w:t>
            </w:r>
          </w:p>
        </w:tc>
        <w:tc>
          <w:tcPr>
            <w:tcW w:w="5253" w:type="dxa"/>
            <w:gridSpan w:val="2"/>
          </w:tcPr>
          <w:p w:rsidR="006702D3" w:rsidRPr="00260132" w:rsidRDefault="006702D3" w:rsidP="00260132">
            <w:pPr>
              <w:jc w:val="both"/>
              <w:rPr>
                <w:bCs/>
                <w:szCs w:val="26"/>
              </w:rPr>
            </w:pPr>
            <w:r w:rsidRPr="00260132">
              <w:rPr>
                <w:bCs/>
                <w:szCs w:val="26"/>
              </w:rPr>
              <w:t>Section 70</w:t>
            </w:r>
            <w:r>
              <w:rPr>
                <w:bCs/>
                <w:szCs w:val="26"/>
              </w:rPr>
              <w:t xml:space="preserve"> does not expressly provide for redemption of redeemable preference shares using proceeds from a fresh issue of shares.</w:t>
            </w:r>
          </w:p>
        </w:tc>
        <w:tc>
          <w:tcPr>
            <w:tcW w:w="4395" w:type="dxa"/>
            <w:shd w:val="clear" w:color="auto" w:fill="auto"/>
          </w:tcPr>
          <w:p w:rsidR="006702D3" w:rsidRPr="00260132" w:rsidRDefault="00FF2BDB" w:rsidP="00FF2BDB">
            <w:pPr>
              <w:jc w:val="both"/>
              <w:rPr>
                <w:bCs/>
                <w:szCs w:val="26"/>
              </w:rPr>
            </w:pPr>
            <w:r>
              <w:rPr>
                <w:szCs w:val="26"/>
                <w:lang w:val="en-US"/>
              </w:rPr>
              <w:t xml:space="preserve">Repeal and re-enact </w:t>
            </w:r>
            <w:r w:rsidR="006702D3" w:rsidRPr="00260132">
              <w:rPr>
                <w:szCs w:val="26"/>
                <w:lang w:val="en-US"/>
              </w:rPr>
              <w:t xml:space="preserve">section 70(4) to provide for redemption </w:t>
            </w:r>
            <w:r w:rsidR="006702D3">
              <w:rPr>
                <w:szCs w:val="26"/>
                <w:lang w:val="en-US"/>
              </w:rPr>
              <w:t xml:space="preserve">of redeemable preference shares </w:t>
            </w:r>
            <w:r w:rsidR="006702D3" w:rsidRPr="00260132">
              <w:rPr>
                <w:szCs w:val="26"/>
                <w:lang w:val="en-US"/>
              </w:rPr>
              <w:t>using proceeds from a fresh issue of shares.</w:t>
            </w:r>
          </w:p>
        </w:tc>
        <w:tc>
          <w:tcPr>
            <w:tcW w:w="3119" w:type="dxa"/>
            <w:shd w:val="clear" w:color="auto" w:fill="auto"/>
          </w:tcPr>
          <w:p w:rsidR="006702D3" w:rsidRPr="00260132" w:rsidRDefault="006702D3" w:rsidP="00260132">
            <w:pPr>
              <w:jc w:val="both"/>
              <w:rPr>
                <w:szCs w:val="26"/>
              </w:rPr>
            </w:pPr>
            <w:r w:rsidRPr="00260132">
              <w:rPr>
                <w:szCs w:val="26"/>
              </w:rPr>
              <w:t>Technical amendment for clarity.</w:t>
            </w:r>
          </w:p>
        </w:tc>
      </w:tr>
      <w:tr w:rsidR="006702D3" w:rsidRPr="003E6052" w:rsidTr="00C42E01">
        <w:tc>
          <w:tcPr>
            <w:tcW w:w="13893" w:type="dxa"/>
            <w:gridSpan w:val="5"/>
            <w:shd w:val="clear" w:color="auto" w:fill="FBD4B4" w:themeFill="accent6" w:themeFillTint="66"/>
          </w:tcPr>
          <w:p w:rsidR="006702D3" w:rsidRPr="00BE6A58" w:rsidRDefault="006702D3" w:rsidP="005D7D8D">
            <w:pPr>
              <w:jc w:val="both"/>
              <w:rPr>
                <w:bCs/>
                <w:szCs w:val="26"/>
              </w:rPr>
            </w:pPr>
            <w:r w:rsidRPr="00BE6A58">
              <w:rPr>
                <w:b/>
                <w:szCs w:val="26"/>
              </w:rPr>
              <w:t>Rights of holders of classes of shares</w:t>
            </w:r>
          </w:p>
        </w:tc>
      </w:tr>
      <w:tr w:rsidR="006702D3" w:rsidRPr="003E6052" w:rsidTr="00E461EB">
        <w:tc>
          <w:tcPr>
            <w:tcW w:w="1126" w:type="dxa"/>
          </w:tcPr>
          <w:p w:rsidR="006702D3" w:rsidRPr="0058343E" w:rsidRDefault="006702D3" w:rsidP="0058343E">
            <w:pPr>
              <w:jc w:val="center"/>
              <w:rPr>
                <w:szCs w:val="26"/>
              </w:rPr>
            </w:pPr>
            <w:r>
              <w:rPr>
                <w:szCs w:val="26"/>
              </w:rPr>
              <w:t>15</w:t>
            </w:r>
          </w:p>
        </w:tc>
        <w:tc>
          <w:tcPr>
            <w:tcW w:w="5253" w:type="dxa"/>
            <w:gridSpan w:val="2"/>
          </w:tcPr>
          <w:p w:rsidR="006702D3" w:rsidRPr="0080284E" w:rsidRDefault="006702D3" w:rsidP="005D7D8D">
            <w:pPr>
              <w:jc w:val="both"/>
              <w:rPr>
                <w:bCs/>
                <w:szCs w:val="26"/>
              </w:rPr>
            </w:pPr>
            <w:r>
              <w:rPr>
                <w:bCs/>
                <w:szCs w:val="26"/>
              </w:rPr>
              <w:t>Section 74(1) allows holders of not less than 5% of the “issued shares” of a class of shares to apply to court to block the variation of their rights. Section 74(1A) provides that a</w:t>
            </w:r>
            <w:r>
              <w:rPr>
                <w:szCs w:val="26"/>
              </w:rPr>
              <w:t>ny of the company’s “issued share capital” held as treasury shares is disregarded for the purpose of subsection (1).</w:t>
            </w:r>
          </w:p>
        </w:tc>
        <w:tc>
          <w:tcPr>
            <w:tcW w:w="4395" w:type="dxa"/>
            <w:shd w:val="clear" w:color="auto" w:fill="auto"/>
          </w:tcPr>
          <w:p w:rsidR="006702D3" w:rsidRPr="0080284E" w:rsidRDefault="006702D3" w:rsidP="00BE6A58">
            <w:pPr>
              <w:jc w:val="both"/>
              <w:rPr>
                <w:bCs/>
                <w:szCs w:val="26"/>
              </w:rPr>
            </w:pPr>
            <w:r>
              <w:rPr>
                <w:szCs w:val="26"/>
              </w:rPr>
              <w:t>Replace “issued shares” in section 74(1) with “total number of issued shares”. Replace “issued share capital” in section 74(1A) with “issued shares” as a consequential amendment.</w:t>
            </w:r>
          </w:p>
        </w:tc>
        <w:tc>
          <w:tcPr>
            <w:tcW w:w="3119" w:type="dxa"/>
            <w:shd w:val="clear" w:color="auto" w:fill="auto"/>
          </w:tcPr>
          <w:p w:rsidR="006702D3" w:rsidRPr="00BE6A58" w:rsidRDefault="006702D3" w:rsidP="00BE6A58">
            <w:pPr>
              <w:pStyle w:val="NoSpacing"/>
              <w:jc w:val="both"/>
              <w:rPr>
                <w:szCs w:val="26"/>
              </w:rPr>
            </w:pPr>
            <w:r w:rsidRPr="00BB7EC1">
              <w:rPr>
                <w:szCs w:val="26"/>
              </w:rPr>
              <w:t>Technical amendment for consistency with the wordings in section 33(5).</w:t>
            </w:r>
          </w:p>
        </w:tc>
      </w:tr>
      <w:tr w:rsidR="006702D3" w:rsidRPr="003E6052" w:rsidTr="00C42E01">
        <w:tc>
          <w:tcPr>
            <w:tcW w:w="13893" w:type="dxa"/>
            <w:gridSpan w:val="5"/>
            <w:shd w:val="clear" w:color="auto" w:fill="FBD4B4" w:themeFill="accent6" w:themeFillTint="66"/>
          </w:tcPr>
          <w:p w:rsidR="006702D3" w:rsidRPr="00DE42C2" w:rsidRDefault="006702D3" w:rsidP="005D7D8D">
            <w:pPr>
              <w:jc w:val="both"/>
              <w:rPr>
                <w:bCs/>
                <w:szCs w:val="26"/>
              </w:rPr>
            </w:pPr>
            <w:r w:rsidRPr="00DE42C2">
              <w:rPr>
                <w:b/>
                <w:szCs w:val="26"/>
              </w:rPr>
              <w:t>Authority for off-market acquisition on equal access scheme</w:t>
            </w:r>
          </w:p>
        </w:tc>
      </w:tr>
      <w:tr w:rsidR="006702D3" w:rsidRPr="003E6052" w:rsidTr="00E461EB">
        <w:tc>
          <w:tcPr>
            <w:tcW w:w="1126" w:type="dxa"/>
          </w:tcPr>
          <w:p w:rsidR="006702D3" w:rsidRPr="0058343E" w:rsidRDefault="006702D3" w:rsidP="0058343E">
            <w:pPr>
              <w:jc w:val="center"/>
              <w:rPr>
                <w:szCs w:val="26"/>
              </w:rPr>
            </w:pPr>
            <w:r>
              <w:rPr>
                <w:szCs w:val="26"/>
              </w:rPr>
              <w:t>16</w:t>
            </w:r>
          </w:p>
        </w:tc>
        <w:tc>
          <w:tcPr>
            <w:tcW w:w="5253" w:type="dxa"/>
            <w:gridSpan w:val="2"/>
          </w:tcPr>
          <w:p w:rsidR="006702D3" w:rsidRPr="0080284E" w:rsidRDefault="006702D3" w:rsidP="005D7D8D">
            <w:pPr>
              <w:pStyle w:val="NoSpacing"/>
              <w:jc w:val="both"/>
              <w:rPr>
                <w:bCs/>
                <w:szCs w:val="26"/>
              </w:rPr>
            </w:pPr>
            <w:r>
              <w:rPr>
                <w:bCs/>
                <w:szCs w:val="26"/>
              </w:rPr>
              <w:t xml:space="preserve">Section 76C allows a company to make an off-market purchase of its own shares if the purchase is made in accordance with an equal access scheme approved at a general meeting. The notice proposing the purchase must </w:t>
            </w:r>
            <w:r>
              <w:rPr>
                <w:szCs w:val="26"/>
              </w:rPr>
              <w:t>specify the maximum number of shares or the maximum percentage of “ordinary issued share capital” authorised to be purchased.</w:t>
            </w:r>
          </w:p>
        </w:tc>
        <w:tc>
          <w:tcPr>
            <w:tcW w:w="4395" w:type="dxa"/>
            <w:shd w:val="clear" w:color="auto" w:fill="auto"/>
          </w:tcPr>
          <w:p w:rsidR="006702D3" w:rsidRPr="0080284E" w:rsidRDefault="006702D3" w:rsidP="00C45086">
            <w:pPr>
              <w:pStyle w:val="NoSpacing"/>
              <w:jc w:val="both"/>
              <w:rPr>
                <w:bCs/>
                <w:szCs w:val="26"/>
              </w:rPr>
            </w:pPr>
            <w:r>
              <w:rPr>
                <w:szCs w:val="26"/>
              </w:rPr>
              <w:t>Replace “ordinary issued share capital” with “ordinary shares”</w:t>
            </w:r>
            <w:r w:rsidR="00C45086">
              <w:rPr>
                <w:szCs w:val="26"/>
              </w:rPr>
              <w:t xml:space="preserve"> in section 76C</w:t>
            </w:r>
            <w:r>
              <w:rPr>
                <w:szCs w:val="26"/>
              </w:rPr>
              <w:t>.</w:t>
            </w:r>
          </w:p>
        </w:tc>
        <w:tc>
          <w:tcPr>
            <w:tcW w:w="3119" w:type="dxa"/>
            <w:shd w:val="clear" w:color="auto" w:fill="auto"/>
          </w:tcPr>
          <w:p w:rsidR="006702D3" w:rsidRPr="00DE42C2" w:rsidRDefault="006702D3" w:rsidP="00DE42C2">
            <w:pPr>
              <w:jc w:val="both"/>
              <w:rPr>
                <w:bCs/>
                <w:szCs w:val="26"/>
              </w:rPr>
            </w:pPr>
            <w:r w:rsidRPr="00DE42C2">
              <w:rPr>
                <w:szCs w:val="26"/>
              </w:rPr>
              <w:t>Technical amendment for consistency with section 76B(3) on share buyback.</w:t>
            </w:r>
          </w:p>
        </w:tc>
      </w:tr>
      <w:tr w:rsidR="006702D3" w:rsidRPr="003E6052" w:rsidTr="00C42E01">
        <w:tc>
          <w:tcPr>
            <w:tcW w:w="13893" w:type="dxa"/>
            <w:gridSpan w:val="5"/>
            <w:shd w:val="clear" w:color="auto" w:fill="FBD4B4" w:themeFill="accent6" w:themeFillTint="66"/>
          </w:tcPr>
          <w:p w:rsidR="006702D3" w:rsidRPr="003C6E4A" w:rsidRDefault="006702D3" w:rsidP="005D7D8D">
            <w:pPr>
              <w:jc w:val="both"/>
              <w:rPr>
                <w:bCs/>
                <w:szCs w:val="26"/>
              </w:rPr>
            </w:pPr>
            <w:r w:rsidRPr="003C6E4A">
              <w:rPr>
                <w:b/>
                <w:szCs w:val="26"/>
              </w:rPr>
              <w:t>Authority for market acquisition</w:t>
            </w:r>
          </w:p>
        </w:tc>
      </w:tr>
      <w:tr w:rsidR="006702D3" w:rsidRPr="003E6052" w:rsidTr="00E461EB">
        <w:tc>
          <w:tcPr>
            <w:tcW w:w="1126" w:type="dxa"/>
          </w:tcPr>
          <w:p w:rsidR="006702D3" w:rsidRPr="0058343E" w:rsidRDefault="006702D3" w:rsidP="0058343E">
            <w:pPr>
              <w:jc w:val="center"/>
              <w:rPr>
                <w:szCs w:val="26"/>
              </w:rPr>
            </w:pPr>
            <w:r>
              <w:rPr>
                <w:szCs w:val="26"/>
              </w:rPr>
              <w:t>17</w:t>
            </w:r>
          </w:p>
        </w:tc>
        <w:tc>
          <w:tcPr>
            <w:tcW w:w="5253" w:type="dxa"/>
            <w:gridSpan w:val="2"/>
          </w:tcPr>
          <w:p w:rsidR="006702D3" w:rsidRPr="0080284E" w:rsidRDefault="006702D3" w:rsidP="005D7D8D">
            <w:pPr>
              <w:jc w:val="both"/>
              <w:rPr>
                <w:bCs/>
                <w:szCs w:val="26"/>
              </w:rPr>
            </w:pPr>
            <w:r>
              <w:rPr>
                <w:bCs/>
                <w:szCs w:val="26"/>
              </w:rPr>
              <w:t xml:space="preserve">Section 76E allows a listed company to purchase its own shares on the exchange if the purchase is approved at a general meeting. The notice proposing the resolution must </w:t>
            </w:r>
            <w:r>
              <w:rPr>
                <w:szCs w:val="26"/>
              </w:rPr>
              <w:t>specify the maximum number of shares or the maximum percentage of “ordinary issued share capital” authorised to be purchased.</w:t>
            </w:r>
          </w:p>
        </w:tc>
        <w:tc>
          <w:tcPr>
            <w:tcW w:w="4395" w:type="dxa"/>
            <w:shd w:val="clear" w:color="auto" w:fill="auto"/>
          </w:tcPr>
          <w:p w:rsidR="006702D3" w:rsidRPr="0080284E" w:rsidRDefault="006702D3" w:rsidP="00C45086">
            <w:pPr>
              <w:jc w:val="both"/>
              <w:rPr>
                <w:bCs/>
                <w:szCs w:val="26"/>
              </w:rPr>
            </w:pPr>
            <w:r>
              <w:rPr>
                <w:szCs w:val="26"/>
              </w:rPr>
              <w:t>Replace “ordinary issued share capital” with “ordinary shares”</w:t>
            </w:r>
            <w:r w:rsidR="00C45086">
              <w:rPr>
                <w:szCs w:val="26"/>
              </w:rPr>
              <w:t xml:space="preserve"> in section 76E</w:t>
            </w:r>
            <w:r>
              <w:rPr>
                <w:szCs w:val="26"/>
              </w:rPr>
              <w:t>.</w:t>
            </w:r>
          </w:p>
        </w:tc>
        <w:tc>
          <w:tcPr>
            <w:tcW w:w="3119" w:type="dxa"/>
            <w:shd w:val="clear" w:color="auto" w:fill="auto"/>
          </w:tcPr>
          <w:p w:rsidR="006702D3" w:rsidRPr="003C6E4A" w:rsidRDefault="006702D3" w:rsidP="005D7D8D">
            <w:pPr>
              <w:jc w:val="both"/>
              <w:rPr>
                <w:bCs/>
                <w:szCs w:val="26"/>
              </w:rPr>
            </w:pPr>
            <w:r w:rsidRPr="00DE42C2">
              <w:rPr>
                <w:szCs w:val="26"/>
              </w:rPr>
              <w:t>Technical amendment for consistency with section 76B(3) on share buyback.</w:t>
            </w:r>
          </w:p>
        </w:tc>
      </w:tr>
      <w:tr w:rsidR="006702D3" w:rsidRPr="003E6052" w:rsidTr="00C42E01">
        <w:tc>
          <w:tcPr>
            <w:tcW w:w="13893" w:type="dxa"/>
            <w:gridSpan w:val="5"/>
            <w:shd w:val="clear" w:color="auto" w:fill="FBD4B4" w:themeFill="accent6" w:themeFillTint="66"/>
          </w:tcPr>
          <w:p w:rsidR="006702D3" w:rsidRPr="00E45EB9" w:rsidRDefault="006702D3" w:rsidP="00E45EB9">
            <w:pPr>
              <w:pStyle w:val="NoSpacing"/>
              <w:jc w:val="both"/>
              <w:rPr>
                <w:szCs w:val="26"/>
              </w:rPr>
            </w:pPr>
            <w:r w:rsidRPr="00D05193">
              <w:rPr>
                <w:b/>
              </w:rPr>
              <w:lastRenderedPageBreak/>
              <w:t>Update list of provisions under section 145(6) on directors</w:t>
            </w:r>
          </w:p>
        </w:tc>
      </w:tr>
      <w:tr w:rsidR="006702D3" w:rsidRPr="003E6052" w:rsidTr="00E461EB">
        <w:tc>
          <w:tcPr>
            <w:tcW w:w="1126" w:type="dxa"/>
          </w:tcPr>
          <w:p w:rsidR="006702D3" w:rsidRPr="0058343E" w:rsidRDefault="006702D3" w:rsidP="0058343E">
            <w:pPr>
              <w:jc w:val="center"/>
              <w:rPr>
                <w:szCs w:val="26"/>
              </w:rPr>
            </w:pPr>
            <w:r>
              <w:rPr>
                <w:szCs w:val="26"/>
              </w:rPr>
              <w:t>19</w:t>
            </w:r>
          </w:p>
        </w:tc>
        <w:tc>
          <w:tcPr>
            <w:tcW w:w="5253" w:type="dxa"/>
            <w:gridSpan w:val="2"/>
          </w:tcPr>
          <w:p w:rsidR="006702D3" w:rsidRPr="00BA4AD1" w:rsidRDefault="006702D3" w:rsidP="00AD7E69">
            <w:pPr>
              <w:pStyle w:val="ExpSectionText1"/>
              <w:spacing w:before="0"/>
              <w:ind w:firstLine="0"/>
              <w:rPr>
                <w:sz w:val="26"/>
                <w:szCs w:val="26"/>
              </w:rPr>
            </w:pPr>
            <w:r w:rsidRPr="00BA4AD1">
              <w:rPr>
                <w:sz w:val="26"/>
                <w:szCs w:val="26"/>
              </w:rPr>
              <w:t>Section 145(5) states that a director shall not resign unless there is at least one locally resident director</w:t>
            </w:r>
            <w:r>
              <w:rPr>
                <w:sz w:val="26"/>
                <w:szCs w:val="26"/>
              </w:rPr>
              <w:t xml:space="preserve"> remaining</w:t>
            </w:r>
            <w:r w:rsidRPr="00BA4AD1">
              <w:rPr>
                <w:sz w:val="26"/>
                <w:szCs w:val="26"/>
              </w:rPr>
              <w:t>.</w:t>
            </w:r>
          </w:p>
          <w:p w:rsidR="006702D3" w:rsidRPr="00BA4AD1" w:rsidRDefault="006702D3" w:rsidP="00AD7E69">
            <w:pPr>
              <w:pStyle w:val="ExpSectionText1"/>
              <w:spacing w:before="0"/>
              <w:ind w:firstLine="0"/>
              <w:rPr>
                <w:sz w:val="26"/>
                <w:szCs w:val="26"/>
              </w:rPr>
            </w:pPr>
          </w:p>
          <w:p w:rsidR="006702D3" w:rsidRPr="00BA4AD1" w:rsidRDefault="006702D3" w:rsidP="00AD7E69">
            <w:pPr>
              <w:pStyle w:val="ExpSectionText1"/>
              <w:spacing w:before="0"/>
              <w:ind w:firstLine="0"/>
              <w:rPr>
                <w:sz w:val="26"/>
                <w:szCs w:val="26"/>
              </w:rPr>
            </w:pPr>
            <w:r w:rsidRPr="00BA4AD1">
              <w:rPr>
                <w:sz w:val="26"/>
                <w:szCs w:val="26"/>
              </w:rPr>
              <w:t>Section 145(6) states that section 145(5) does not apply if the director is required to resign by virtue of disqualification under any one of the provisions listed in section 145(6).</w:t>
            </w:r>
          </w:p>
        </w:tc>
        <w:tc>
          <w:tcPr>
            <w:tcW w:w="4395" w:type="dxa"/>
            <w:shd w:val="clear" w:color="auto" w:fill="auto"/>
          </w:tcPr>
          <w:p w:rsidR="006702D3" w:rsidRPr="00BA4AD1" w:rsidRDefault="006702D3" w:rsidP="00AD7E69">
            <w:pPr>
              <w:ind w:left="33"/>
              <w:jc w:val="both"/>
              <w:rPr>
                <w:szCs w:val="26"/>
              </w:rPr>
            </w:pPr>
            <w:r>
              <w:rPr>
                <w:szCs w:val="26"/>
              </w:rPr>
              <w:t xml:space="preserve">Update </w:t>
            </w:r>
            <w:r w:rsidRPr="00BA4AD1">
              <w:rPr>
                <w:szCs w:val="26"/>
              </w:rPr>
              <w:t xml:space="preserve">the list of provisions </w:t>
            </w:r>
            <w:r>
              <w:rPr>
                <w:szCs w:val="26"/>
              </w:rPr>
              <w:t xml:space="preserve">in section 145(6) </w:t>
            </w:r>
            <w:r w:rsidRPr="00BA4AD1">
              <w:rPr>
                <w:szCs w:val="26"/>
              </w:rPr>
              <w:t>by:</w:t>
            </w:r>
          </w:p>
          <w:p w:rsidR="006702D3" w:rsidRDefault="006702D3" w:rsidP="00924C35">
            <w:pPr>
              <w:pStyle w:val="ListParagraph"/>
              <w:numPr>
                <w:ilvl w:val="0"/>
                <w:numId w:val="32"/>
              </w:numPr>
              <w:contextualSpacing w:val="0"/>
              <w:jc w:val="both"/>
              <w:rPr>
                <w:szCs w:val="26"/>
              </w:rPr>
            </w:pPr>
            <w:r w:rsidRPr="00212190">
              <w:rPr>
                <w:szCs w:val="26"/>
              </w:rPr>
              <w:t xml:space="preserve">adding </w:t>
            </w:r>
            <w:r>
              <w:rPr>
                <w:szCs w:val="26"/>
              </w:rPr>
              <w:t>references to the new sections 155A and 155C (redrafted from the current section 155A);</w:t>
            </w:r>
          </w:p>
          <w:p w:rsidR="006702D3" w:rsidRDefault="006702D3" w:rsidP="00924C35">
            <w:pPr>
              <w:pStyle w:val="ListParagraph"/>
              <w:numPr>
                <w:ilvl w:val="0"/>
                <w:numId w:val="32"/>
              </w:numPr>
              <w:contextualSpacing w:val="0"/>
              <w:jc w:val="both"/>
              <w:rPr>
                <w:szCs w:val="26"/>
              </w:rPr>
            </w:pPr>
            <w:r>
              <w:rPr>
                <w:szCs w:val="26"/>
              </w:rPr>
              <w:t xml:space="preserve">adding references to </w:t>
            </w:r>
            <w:r w:rsidRPr="00212190">
              <w:rPr>
                <w:szCs w:val="26"/>
              </w:rPr>
              <w:t>sections 62 and 63 of the Financial Holding Companies Act</w:t>
            </w:r>
            <w:r>
              <w:rPr>
                <w:szCs w:val="26"/>
              </w:rPr>
              <w:t xml:space="preserve">, </w:t>
            </w:r>
            <w:r w:rsidRPr="00212190">
              <w:rPr>
                <w:szCs w:val="26"/>
              </w:rPr>
              <w:t>section 14 of the Trust Companies Act</w:t>
            </w:r>
            <w:r>
              <w:rPr>
                <w:szCs w:val="26"/>
              </w:rPr>
              <w:t xml:space="preserve"> and the Securities and Futures (Licensing and Conduct of Business) Regulations</w:t>
            </w:r>
            <w:r w:rsidRPr="00212190">
              <w:rPr>
                <w:szCs w:val="26"/>
              </w:rPr>
              <w:t>;</w:t>
            </w:r>
            <w:r>
              <w:rPr>
                <w:szCs w:val="26"/>
              </w:rPr>
              <w:t xml:space="preserve"> and</w:t>
            </w:r>
          </w:p>
          <w:p w:rsidR="006702D3" w:rsidRPr="00212190" w:rsidRDefault="006702D3" w:rsidP="00924C35">
            <w:pPr>
              <w:pStyle w:val="ListParagraph"/>
              <w:numPr>
                <w:ilvl w:val="0"/>
                <w:numId w:val="32"/>
              </w:numPr>
              <w:contextualSpacing w:val="0"/>
              <w:jc w:val="both"/>
              <w:rPr>
                <w:szCs w:val="26"/>
              </w:rPr>
            </w:pPr>
            <w:r>
              <w:rPr>
                <w:szCs w:val="26"/>
              </w:rPr>
              <w:t>d</w:t>
            </w:r>
            <w:r w:rsidRPr="00BA4AD1">
              <w:rPr>
                <w:szCs w:val="26"/>
              </w:rPr>
              <w:t xml:space="preserve">eleting </w:t>
            </w:r>
            <w:r>
              <w:rPr>
                <w:szCs w:val="26"/>
              </w:rPr>
              <w:t xml:space="preserve">references to </w:t>
            </w:r>
            <w:r w:rsidRPr="00BA4AD1">
              <w:rPr>
                <w:szCs w:val="26"/>
              </w:rPr>
              <w:t>section</w:t>
            </w:r>
            <w:r>
              <w:rPr>
                <w:szCs w:val="26"/>
              </w:rPr>
              <w:t>s</w:t>
            </w:r>
            <w:r w:rsidRPr="00BA4AD1">
              <w:rPr>
                <w:szCs w:val="26"/>
              </w:rPr>
              <w:t xml:space="preserve"> 66 and 67 of the Banking Act and section 49 of the Finance Companies Act.</w:t>
            </w:r>
          </w:p>
        </w:tc>
        <w:tc>
          <w:tcPr>
            <w:tcW w:w="3119" w:type="dxa"/>
            <w:shd w:val="clear" w:color="auto" w:fill="auto"/>
          </w:tcPr>
          <w:p w:rsidR="006702D3" w:rsidRPr="00BA4AD1" w:rsidRDefault="006702D3" w:rsidP="00AD7E69">
            <w:pPr>
              <w:pStyle w:val="ExpSectionText1"/>
              <w:spacing w:before="0"/>
              <w:ind w:firstLine="0"/>
              <w:rPr>
                <w:sz w:val="26"/>
                <w:szCs w:val="26"/>
                <w:lang w:val="en-GB"/>
              </w:rPr>
            </w:pPr>
            <w:r>
              <w:rPr>
                <w:sz w:val="26"/>
                <w:szCs w:val="26"/>
                <w:lang w:val="en-GB"/>
              </w:rPr>
              <w:t>Ensure completeness and accuracy of references in section 145(6).</w:t>
            </w:r>
          </w:p>
        </w:tc>
      </w:tr>
      <w:tr w:rsidR="006702D3" w:rsidRPr="003E6052" w:rsidTr="00C42E01">
        <w:tc>
          <w:tcPr>
            <w:tcW w:w="13893" w:type="dxa"/>
            <w:gridSpan w:val="5"/>
            <w:shd w:val="clear" w:color="auto" w:fill="FBD4B4" w:themeFill="accent6" w:themeFillTint="66"/>
          </w:tcPr>
          <w:p w:rsidR="006702D3" w:rsidRPr="00DC53CF" w:rsidRDefault="006702D3" w:rsidP="005D7D8D">
            <w:pPr>
              <w:jc w:val="both"/>
              <w:rPr>
                <w:b/>
                <w:szCs w:val="26"/>
              </w:rPr>
            </w:pPr>
            <w:r>
              <w:rPr>
                <w:b/>
                <w:bCs/>
                <w:szCs w:val="26"/>
              </w:rPr>
              <w:t>Disqualification of director of struck-off company</w:t>
            </w:r>
          </w:p>
        </w:tc>
      </w:tr>
      <w:tr w:rsidR="006702D3" w:rsidRPr="003E6052" w:rsidTr="00E461EB">
        <w:tc>
          <w:tcPr>
            <w:tcW w:w="1126" w:type="dxa"/>
            <w:shd w:val="clear" w:color="auto" w:fill="FFFFFF" w:themeFill="background1"/>
          </w:tcPr>
          <w:p w:rsidR="006702D3" w:rsidRPr="0066175B" w:rsidRDefault="006702D3" w:rsidP="00E63815">
            <w:pPr>
              <w:jc w:val="center"/>
              <w:rPr>
                <w:szCs w:val="26"/>
              </w:rPr>
            </w:pPr>
            <w:r w:rsidRPr="00F5495E">
              <w:rPr>
                <w:szCs w:val="26"/>
              </w:rPr>
              <w:t>2</w:t>
            </w:r>
            <w:r>
              <w:rPr>
                <w:szCs w:val="26"/>
              </w:rPr>
              <w:t>1</w:t>
            </w:r>
          </w:p>
        </w:tc>
        <w:tc>
          <w:tcPr>
            <w:tcW w:w="5253" w:type="dxa"/>
            <w:gridSpan w:val="2"/>
            <w:shd w:val="clear" w:color="auto" w:fill="FFFFFF" w:themeFill="background1"/>
          </w:tcPr>
          <w:p w:rsidR="006702D3" w:rsidRPr="0066175B" w:rsidRDefault="006702D3" w:rsidP="004F6A3A">
            <w:pPr>
              <w:jc w:val="both"/>
              <w:rPr>
                <w:szCs w:val="26"/>
              </w:rPr>
            </w:pPr>
            <w:r>
              <w:rPr>
                <w:szCs w:val="26"/>
              </w:rPr>
              <w:t>There is no disqualification for directors of struck-off companies.</w:t>
            </w:r>
          </w:p>
        </w:tc>
        <w:tc>
          <w:tcPr>
            <w:tcW w:w="4395" w:type="dxa"/>
            <w:shd w:val="clear" w:color="auto" w:fill="FFFFFF" w:themeFill="background1"/>
          </w:tcPr>
          <w:p w:rsidR="006702D3" w:rsidRDefault="006702D3" w:rsidP="005D7D8D">
            <w:pPr>
              <w:jc w:val="both"/>
              <w:rPr>
                <w:szCs w:val="26"/>
              </w:rPr>
            </w:pPr>
            <w:r>
              <w:rPr>
                <w:szCs w:val="26"/>
              </w:rPr>
              <w:t xml:space="preserve">Repeal </w:t>
            </w:r>
            <w:r w:rsidRPr="00D252CF">
              <w:rPr>
                <w:szCs w:val="26"/>
              </w:rPr>
              <w:t>s</w:t>
            </w:r>
            <w:r w:rsidR="007D41A3">
              <w:rPr>
                <w:szCs w:val="26"/>
              </w:rPr>
              <w:t xml:space="preserve">ection </w:t>
            </w:r>
            <w:r w:rsidRPr="00D252CF">
              <w:rPr>
                <w:szCs w:val="26"/>
              </w:rPr>
              <w:t xml:space="preserve">155A </w:t>
            </w:r>
            <w:r w:rsidR="00C83CB2">
              <w:rPr>
                <w:szCs w:val="26"/>
              </w:rPr>
              <w:t xml:space="preserve">and </w:t>
            </w:r>
            <w:r w:rsidRPr="00D252CF">
              <w:rPr>
                <w:szCs w:val="26"/>
              </w:rPr>
              <w:t>re-enact as new s</w:t>
            </w:r>
            <w:r w:rsidR="007D41A3">
              <w:rPr>
                <w:szCs w:val="26"/>
              </w:rPr>
              <w:t xml:space="preserve">ection </w:t>
            </w:r>
            <w:r w:rsidRPr="00D252CF">
              <w:rPr>
                <w:szCs w:val="26"/>
              </w:rPr>
              <w:t>155C</w:t>
            </w:r>
            <w:r w:rsidR="00C83CB2">
              <w:rPr>
                <w:szCs w:val="26"/>
              </w:rPr>
              <w:t>. I</w:t>
            </w:r>
            <w:r>
              <w:rPr>
                <w:szCs w:val="26"/>
              </w:rPr>
              <w:t>ntroduce section 155A, which d</w:t>
            </w:r>
            <w:r w:rsidRPr="00317286">
              <w:rPr>
                <w:szCs w:val="26"/>
              </w:rPr>
              <w:t>isqualif</w:t>
            </w:r>
            <w:r>
              <w:rPr>
                <w:szCs w:val="26"/>
              </w:rPr>
              <w:t>ies</w:t>
            </w:r>
            <w:r w:rsidRPr="00317286">
              <w:rPr>
                <w:szCs w:val="26"/>
              </w:rPr>
              <w:t xml:space="preserve"> a person from acting as a director, if three or more companies in which he </w:t>
            </w:r>
            <w:r>
              <w:rPr>
                <w:szCs w:val="26"/>
              </w:rPr>
              <w:t>was</w:t>
            </w:r>
            <w:r w:rsidRPr="00317286">
              <w:rPr>
                <w:szCs w:val="26"/>
              </w:rPr>
              <w:t xml:space="preserve"> a director of, are struck off as a result of ACRA-initiated review within a period of five years.</w:t>
            </w:r>
          </w:p>
          <w:p w:rsidR="006702D3" w:rsidRDefault="006702D3" w:rsidP="005D7D8D">
            <w:pPr>
              <w:jc w:val="both"/>
              <w:rPr>
                <w:szCs w:val="26"/>
              </w:rPr>
            </w:pPr>
          </w:p>
          <w:p w:rsidR="006702D3" w:rsidRPr="00DC53CF" w:rsidRDefault="006702D3" w:rsidP="005D7D8D">
            <w:pPr>
              <w:jc w:val="both"/>
              <w:rPr>
                <w:b/>
                <w:szCs w:val="26"/>
              </w:rPr>
            </w:pPr>
            <w:r>
              <w:rPr>
                <w:szCs w:val="26"/>
              </w:rPr>
              <w:t xml:space="preserve">The disqualification will only apply to companies struck off after the </w:t>
            </w:r>
            <w:r>
              <w:rPr>
                <w:szCs w:val="26"/>
              </w:rPr>
              <w:lastRenderedPageBreak/>
              <w:t>commencement of the new provision.</w:t>
            </w:r>
          </w:p>
        </w:tc>
        <w:tc>
          <w:tcPr>
            <w:tcW w:w="3119" w:type="dxa"/>
            <w:shd w:val="clear" w:color="auto" w:fill="FFFFFF" w:themeFill="background1"/>
          </w:tcPr>
          <w:p w:rsidR="006702D3" w:rsidRPr="00DC281A" w:rsidRDefault="006702D3" w:rsidP="00D9726C">
            <w:pPr>
              <w:pStyle w:val="NoSpacing"/>
              <w:jc w:val="both"/>
              <w:rPr>
                <w:strike/>
                <w:szCs w:val="26"/>
              </w:rPr>
            </w:pPr>
            <w:r w:rsidRPr="00AA3968">
              <w:rPr>
                <w:szCs w:val="26"/>
              </w:rPr>
              <w:lastRenderedPageBreak/>
              <w:t xml:space="preserve">Proposed change </w:t>
            </w:r>
            <w:r>
              <w:rPr>
                <w:szCs w:val="26"/>
              </w:rPr>
              <w:t xml:space="preserve">complements existing ACRA’s power to strike-off a company on its own initiative. The proposed change is intended to prompt directors of the company to take active steps to wind-up a defunct company on their own accord. This provision </w:t>
            </w:r>
            <w:r w:rsidRPr="00AA3968">
              <w:rPr>
                <w:szCs w:val="26"/>
              </w:rPr>
              <w:t xml:space="preserve">is </w:t>
            </w:r>
            <w:r w:rsidRPr="00AA3968">
              <w:rPr>
                <w:szCs w:val="26"/>
              </w:rPr>
              <w:lastRenderedPageBreak/>
              <w:t xml:space="preserve">consistent with section 155, which disqualifies a person from acting as a director if he </w:t>
            </w:r>
            <w:r>
              <w:rPr>
                <w:szCs w:val="26"/>
              </w:rPr>
              <w:t>has committed</w:t>
            </w:r>
            <w:r w:rsidRPr="00AA3968">
              <w:rPr>
                <w:szCs w:val="26"/>
              </w:rPr>
              <w:t xml:space="preserve"> three or more </w:t>
            </w:r>
            <w:r>
              <w:rPr>
                <w:szCs w:val="26"/>
              </w:rPr>
              <w:t>breaches</w:t>
            </w:r>
            <w:r w:rsidRPr="00AA3968">
              <w:rPr>
                <w:szCs w:val="26"/>
              </w:rPr>
              <w:t xml:space="preserve"> of not filing documents with ACRA within a period of five years.</w:t>
            </w:r>
          </w:p>
        </w:tc>
      </w:tr>
      <w:tr w:rsidR="006702D3" w:rsidRPr="003E6052" w:rsidTr="00C42E01">
        <w:tc>
          <w:tcPr>
            <w:tcW w:w="13893" w:type="dxa"/>
            <w:gridSpan w:val="5"/>
            <w:shd w:val="clear" w:color="auto" w:fill="FBD4B4" w:themeFill="accent6" w:themeFillTint="66"/>
          </w:tcPr>
          <w:p w:rsidR="006702D3" w:rsidRPr="00DC53CF" w:rsidRDefault="006702D3" w:rsidP="00590A1A">
            <w:pPr>
              <w:jc w:val="both"/>
              <w:rPr>
                <w:b/>
                <w:szCs w:val="26"/>
              </w:rPr>
            </w:pPr>
            <w:r>
              <w:rPr>
                <w:b/>
                <w:szCs w:val="26"/>
              </w:rPr>
              <w:lastRenderedPageBreak/>
              <w:t>New debarment regime for directors and companies secretaries</w:t>
            </w:r>
          </w:p>
        </w:tc>
      </w:tr>
      <w:tr w:rsidR="006702D3" w:rsidRPr="003E6052" w:rsidTr="00E461EB">
        <w:tc>
          <w:tcPr>
            <w:tcW w:w="1126" w:type="dxa"/>
          </w:tcPr>
          <w:p w:rsidR="006702D3" w:rsidRPr="0058343E" w:rsidRDefault="006702D3" w:rsidP="006D256A">
            <w:pPr>
              <w:jc w:val="center"/>
              <w:rPr>
                <w:szCs w:val="26"/>
              </w:rPr>
            </w:pPr>
            <w:r>
              <w:rPr>
                <w:szCs w:val="26"/>
              </w:rPr>
              <w:t>21 &amp; 20</w:t>
            </w:r>
          </w:p>
        </w:tc>
        <w:tc>
          <w:tcPr>
            <w:tcW w:w="5253" w:type="dxa"/>
            <w:gridSpan w:val="2"/>
          </w:tcPr>
          <w:p w:rsidR="006702D3" w:rsidRPr="00E45EB9" w:rsidRDefault="006702D3" w:rsidP="004F6A3A">
            <w:pPr>
              <w:pStyle w:val="NoSpacing"/>
              <w:jc w:val="both"/>
              <w:rPr>
                <w:szCs w:val="26"/>
              </w:rPr>
            </w:pPr>
            <w:r>
              <w:rPr>
                <w:szCs w:val="26"/>
              </w:rPr>
              <w:t>There is no debarment regime for directors and company secretaries</w:t>
            </w:r>
            <w:r w:rsidRPr="00E45EB9">
              <w:rPr>
                <w:szCs w:val="26"/>
              </w:rPr>
              <w:t>.</w:t>
            </w:r>
          </w:p>
        </w:tc>
        <w:tc>
          <w:tcPr>
            <w:tcW w:w="4395" w:type="dxa"/>
            <w:shd w:val="clear" w:color="auto" w:fill="auto"/>
          </w:tcPr>
          <w:p w:rsidR="006702D3" w:rsidRDefault="006702D3">
            <w:pPr>
              <w:pStyle w:val="NoSpacing"/>
              <w:jc w:val="both"/>
              <w:rPr>
                <w:szCs w:val="26"/>
              </w:rPr>
            </w:pPr>
            <w:r>
              <w:rPr>
                <w:szCs w:val="26"/>
              </w:rPr>
              <w:t xml:space="preserve">Introduce </w:t>
            </w:r>
            <w:r w:rsidRPr="00E45EB9">
              <w:rPr>
                <w:szCs w:val="26"/>
              </w:rPr>
              <w:t xml:space="preserve">section </w:t>
            </w:r>
            <w:r>
              <w:rPr>
                <w:szCs w:val="26"/>
              </w:rPr>
              <w:t xml:space="preserve">155B, which </w:t>
            </w:r>
            <w:r w:rsidRPr="00FB2F2B">
              <w:rPr>
                <w:szCs w:val="26"/>
              </w:rPr>
              <w:t>allow</w:t>
            </w:r>
            <w:r>
              <w:rPr>
                <w:szCs w:val="26"/>
              </w:rPr>
              <w:t>s</w:t>
            </w:r>
            <w:r w:rsidRPr="00FB2F2B">
              <w:rPr>
                <w:szCs w:val="26"/>
              </w:rPr>
              <w:t xml:space="preserve"> the Registrar to debar any director/company secretary of a company which has failed to lodge any documents at least 3 months after the </w:t>
            </w:r>
            <w:r>
              <w:rPr>
                <w:szCs w:val="26"/>
              </w:rPr>
              <w:t xml:space="preserve">prescribed </w:t>
            </w:r>
            <w:r w:rsidRPr="00FB2F2B">
              <w:rPr>
                <w:szCs w:val="26"/>
              </w:rPr>
              <w:t>deadline</w:t>
            </w:r>
            <w:r>
              <w:rPr>
                <w:szCs w:val="26"/>
              </w:rPr>
              <w:t>s</w:t>
            </w:r>
            <w:r w:rsidRPr="00FB2F2B">
              <w:rPr>
                <w:szCs w:val="26"/>
              </w:rPr>
              <w:t xml:space="preserve"> under the Act. A debarred person will not be allowed to take on any new appointment as director/company secretary, although they may continue with existing appointments. The Registrar will lift the debarment when the default has been rectified or the person has ceased to be a director/company secretary of the company in default.</w:t>
            </w:r>
          </w:p>
          <w:p w:rsidR="006702D3" w:rsidRDefault="006702D3">
            <w:pPr>
              <w:pStyle w:val="NoSpacing"/>
              <w:jc w:val="both"/>
              <w:rPr>
                <w:szCs w:val="26"/>
              </w:rPr>
            </w:pPr>
          </w:p>
          <w:p w:rsidR="006702D3" w:rsidRPr="00E45EB9" w:rsidRDefault="006702D3" w:rsidP="00590A1A">
            <w:pPr>
              <w:pStyle w:val="NoSpacing"/>
              <w:jc w:val="both"/>
              <w:rPr>
                <w:szCs w:val="26"/>
              </w:rPr>
            </w:pPr>
            <w:r>
              <w:rPr>
                <w:szCs w:val="26"/>
              </w:rPr>
              <w:t>Consequential amendment to section 146(1A), to require a statement that a person is not debarred under the new section 155B from acting as a director.</w:t>
            </w:r>
          </w:p>
        </w:tc>
        <w:tc>
          <w:tcPr>
            <w:tcW w:w="3119" w:type="dxa"/>
            <w:shd w:val="clear" w:color="auto" w:fill="auto"/>
          </w:tcPr>
          <w:p w:rsidR="006702D3" w:rsidRDefault="006702D3" w:rsidP="00590A1A">
            <w:pPr>
              <w:pStyle w:val="NoSpacing"/>
              <w:jc w:val="both"/>
              <w:rPr>
                <w:szCs w:val="26"/>
              </w:rPr>
            </w:pPr>
            <w:r>
              <w:rPr>
                <w:szCs w:val="26"/>
              </w:rPr>
              <w:t>To introduce debarment regime</w:t>
            </w:r>
            <w:r w:rsidRPr="00E45EB9">
              <w:rPr>
                <w:szCs w:val="26"/>
              </w:rPr>
              <w:t>.</w:t>
            </w:r>
          </w:p>
          <w:p w:rsidR="006702D3" w:rsidRDefault="006702D3" w:rsidP="00590A1A">
            <w:pPr>
              <w:pStyle w:val="NoSpacing"/>
              <w:jc w:val="both"/>
              <w:rPr>
                <w:szCs w:val="26"/>
              </w:rPr>
            </w:pPr>
          </w:p>
          <w:p w:rsidR="006702D3" w:rsidRPr="00335581" w:rsidRDefault="006702D3" w:rsidP="00335581">
            <w:pPr>
              <w:jc w:val="both"/>
              <w:rPr>
                <w:i/>
                <w:szCs w:val="26"/>
                <w:u w:val="single"/>
              </w:rPr>
            </w:pPr>
            <w:r w:rsidRPr="00E63815">
              <w:rPr>
                <w:i/>
                <w:szCs w:val="26"/>
                <w:u w:val="single"/>
              </w:rPr>
              <w:t>Consultation question 1</w:t>
            </w:r>
          </w:p>
          <w:p w:rsidR="006702D3" w:rsidRPr="00335581" w:rsidRDefault="006702D3" w:rsidP="00335581">
            <w:pPr>
              <w:jc w:val="both"/>
              <w:rPr>
                <w:i/>
                <w:szCs w:val="26"/>
              </w:rPr>
            </w:pPr>
            <w:r w:rsidRPr="00335581">
              <w:rPr>
                <w:i/>
                <w:szCs w:val="26"/>
              </w:rPr>
              <w:t xml:space="preserve">We would like to seek comments on whether there should be an avenue for a debarred person to apply to </w:t>
            </w:r>
            <w:r>
              <w:rPr>
                <w:i/>
                <w:szCs w:val="26"/>
              </w:rPr>
              <w:t xml:space="preserve">the </w:t>
            </w:r>
            <w:r w:rsidRPr="00335581">
              <w:rPr>
                <w:i/>
                <w:szCs w:val="26"/>
              </w:rPr>
              <w:t>Registrar for leave to act upon satisfaction of certain conditions, for example providing a security bond for a certain sum which may be forfeited upon any subsequent default.</w:t>
            </w:r>
          </w:p>
          <w:p w:rsidR="006702D3" w:rsidRDefault="006702D3" w:rsidP="00335581">
            <w:pPr>
              <w:pStyle w:val="NoSpacing"/>
              <w:jc w:val="both"/>
              <w:rPr>
                <w:i/>
                <w:szCs w:val="26"/>
              </w:rPr>
            </w:pPr>
          </w:p>
          <w:p w:rsidR="006702D3" w:rsidRPr="00335581" w:rsidRDefault="006702D3" w:rsidP="00335581">
            <w:pPr>
              <w:jc w:val="both"/>
              <w:rPr>
                <w:i/>
                <w:szCs w:val="26"/>
                <w:u w:val="single"/>
              </w:rPr>
            </w:pPr>
            <w:r w:rsidRPr="008B064B">
              <w:rPr>
                <w:i/>
                <w:szCs w:val="26"/>
                <w:u w:val="single"/>
              </w:rPr>
              <w:t>Consultation question 2</w:t>
            </w:r>
          </w:p>
          <w:p w:rsidR="006702D3" w:rsidRDefault="006702D3" w:rsidP="007C7748">
            <w:pPr>
              <w:pStyle w:val="NoSpacing"/>
              <w:jc w:val="both"/>
              <w:rPr>
                <w:i/>
                <w:szCs w:val="26"/>
              </w:rPr>
            </w:pPr>
            <w:r w:rsidRPr="00335581">
              <w:rPr>
                <w:i/>
                <w:szCs w:val="26"/>
              </w:rPr>
              <w:t xml:space="preserve">We would like to seek comments on whether the </w:t>
            </w:r>
            <w:r w:rsidRPr="00335581">
              <w:rPr>
                <w:i/>
                <w:szCs w:val="26"/>
              </w:rPr>
              <w:lastRenderedPageBreak/>
              <w:t xml:space="preserve">Registrar should be </w:t>
            </w:r>
            <w:r>
              <w:rPr>
                <w:i/>
                <w:szCs w:val="26"/>
              </w:rPr>
              <w:t>empowered to debar:</w:t>
            </w:r>
          </w:p>
          <w:p w:rsidR="006702D3" w:rsidRPr="007C7748" w:rsidRDefault="006702D3" w:rsidP="007C7748">
            <w:pPr>
              <w:pStyle w:val="NoSpacing"/>
              <w:numPr>
                <w:ilvl w:val="0"/>
                <w:numId w:val="42"/>
              </w:numPr>
              <w:ind w:left="411" w:hanging="411"/>
              <w:jc w:val="both"/>
              <w:rPr>
                <w:szCs w:val="26"/>
              </w:rPr>
            </w:pPr>
            <w:r>
              <w:rPr>
                <w:i/>
                <w:szCs w:val="26"/>
              </w:rPr>
              <w:t xml:space="preserve">a </w:t>
            </w:r>
            <w:r w:rsidRPr="00335581">
              <w:rPr>
                <w:i/>
                <w:szCs w:val="26"/>
              </w:rPr>
              <w:t xml:space="preserve">person who </w:t>
            </w:r>
            <w:r>
              <w:rPr>
                <w:i/>
                <w:szCs w:val="26"/>
              </w:rPr>
              <w:t>has</w:t>
            </w:r>
            <w:r w:rsidRPr="00335581">
              <w:rPr>
                <w:i/>
                <w:szCs w:val="26"/>
              </w:rPr>
              <w:t xml:space="preserve"> been a director or company secretary for at least 3 months</w:t>
            </w:r>
            <w:r>
              <w:rPr>
                <w:i/>
                <w:szCs w:val="26"/>
              </w:rPr>
              <w:t>, as specified under section 155B(4)(a);</w:t>
            </w:r>
            <w:r w:rsidRPr="00335581">
              <w:rPr>
                <w:i/>
                <w:szCs w:val="26"/>
              </w:rPr>
              <w:t xml:space="preserve"> </w:t>
            </w:r>
            <w:r w:rsidRPr="007C7748">
              <w:rPr>
                <w:i/>
                <w:szCs w:val="26"/>
              </w:rPr>
              <w:t>or</w:t>
            </w:r>
          </w:p>
          <w:p w:rsidR="006702D3" w:rsidRDefault="006702D3" w:rsidP="007211B3">
            <w:pPr>
              <w:pStyle w:val="NoSpacing"/>
              <w:numPr>
                <w:ilvl w:val="0"/>
                <w:numId w:val="42"/>
              </w:numPr>
              <w:ind w:left="411" w:hanging="411"/>
              <w:jc w:val="both"/>
              <w:rPr>
                <w:szCs w:val="26"/>
              </w:rPr>
            </w:pPr>
            <w:r w:rsidRPr="007C7748">
              <w:rPr>
                <w:i/>
                <w:szCs w:val="26"/>
              </w:rPr>
              <w:t xml:space="preserve">any director or company secretary of </w:t>
            </w:r>
            <w:r>
              <w:rPr>
                <w:i/>
                <w:szCs w:val="26"/>
              </w:rPr>
              <w:t>a</w:t>
            </w:r>
            <w:r w:rsidRPr="007C7748">
              <w:rPr>
                <w:i/>
                <w:szCs w:val="26"/>
              </w:rPr>
              <w:t xml:space="preserve"> company even if the person was newly appointed or in office for less than 3 months</w:t>
            </w:r>
            <w:r>
              <w:rPr>
                <w:i/>
                <w:szCs w:val="26"/>
              </w:rPr>
              <w:t>, as long as the company has been in default for at least 3 months</w:t>
            </w:r>
            <w:r w:rsidRPr="007C7748">
              <w:rPr>
                <w:i/>
                <w:szCs w:val="26"/>
              </w:rPr>
              <w:t>.</w:t>
            </w:r>
          </w:p>
        </w:tc>
      </w:tr>
      <w:tr w:rsidR="006702D3" w:rsidRPr="003E6052" w:rsidTr="00C42E01">
        <w:tc>
          <w:tcPr>
            <w:tcW w:w="13893" w:type="dxa"/>
            <w:gridSpan w:val="5"/>
            <w:shd w:val="clear" w:color="auto" w:fill="FBD4B4" w:themeFill="accent6" w:themeFillTint="66"/>
          </w:tcPr>
          <w:p w:rsidR="006702D3" w:rsidRPr="00DC53CF" w:rsidRDefault="006702D3" w:rsidP="005D7D8D">
            <w:pPr>
              <w:jc w:val="both"/>
              <w:rPr>
                <w:bCs/>
                <w:szCs w:val="26"/>
              </w:rPr>
            </w:pPr>
            <w:r w:rsidRPr="00DC53CF">
              <w:rPr>
                <w:b/>
                <w:szCs w:val="26"/>
              </w:rPr>
              <w:lastRenderedPageBreak/>
              <w:t>Disqualification under Limited Liability Partnerships Act 2005</w:t>
            </w:r>
          </w:p>
        </w:tc>
      </w:tr>
      <w:tr w:rsidR="006702D3" w:rsidRPr="003E6052" w:rsidTr="00E461EB">
        <w:tc>
          <w:tcPr>
            <w:tcW w:w="1126" w:type="dxa"/>
            <w:vMerge w:val="restart"/>
          </w:tcPr>
          <w:p w:rsidR="006702D3" w:rsidRPr="00755BB9" w:rsidRDefault="006702D3" w:rsidP="00571B6D">
            <w:pPr>
              <w:jc w:val="center"/>
              <w:rPr>
                <w:szCs w:val="26"/>
              </w:rPr>
            </w:pPr>
            <w:r>
              <w:rPr>
                <w:szCs w:val="26"/>
              </w:rPr>
              <w:t>21</w:t>
            </w:r>
          </w:p>
        </w:tc>
        <w:tc>
          <w:tcPr>
            <w:tcW w:w="5253" w:type="dxa"/>
            <w:gridSpan w:val="2"/>
            <w:vMerge w:val="restart"/>
          </w:tcPr>
          <w:p w:rsidR="006702D3" w:rsidRPr="00A551D0" w:rsidRDefault="006702D3" w:rsidP="00A551D0">
            <w:pPr>
              <w:jc w:val="both"/>
              <w:rPr>
                <w:szCs w:val="26"/>
              </w:rPr>
            </w:pPr>
            <w:r w:rsidRPr="00A551D0">
              <w:rPr>
                <w:szCs w:val="26"/>
              </w:rPr>
              <w:t>Section 155A prohibits a person who is disqualified under the Limited Liability Partnerships Act from acting as a director or taking part in the management of a corporation.</w:t>
            </w:r>
          </w:p>
        </w:tc>
        <w:tc>
          <w:tcPr>
            <w:tcW w:w="4395" w:type="dxa"/>
            <w:shd w:val="clear" w:color="auto" w:fill="auto"/>
          </w:tcPr>
          <w:p w:rsidR="006702D3" w:rsidRDefault="003C1D22" w:rsidP="008F40EB">
            <w:pPr>
              <w:pStyle w:val="NoSpacing"/>
              <w:jc w:val="both"/>
              <w:rPr>
                <w:szCs w:val="26"/>
              </w:rPr>
            </w:pPr>
            <w:r>
              <w:rPr>
                <w:szCs w:val="26"/>
              </w:rPr>
              <w:t xml:space="preserve">Repeal and re-enact </w:t>
            </w:r>
            <w:r w:rsidR="006702D3">
              <w:rPr>
                <w:szCs w:val="26"/>
              </w:rPr>
              <w:t>section 155A as new section 155C.</w:t>
            </w:r>
          </w:p>
          <w:p w:rsidR="006702D3" w:rsidRDefault="006702D3" w:rsidP="008F40EB">
            <w:pPr>
              <w:pStyle w:val="NoSpacing"/>
              <w:jc w:val="both"/>
              <w:rPr>
                <w:szCs w:val="26"/>
              </w:rPr>
            </w:pPr>
          </w:p>
          <w:p w:rsidR="006702D3" w:rsidRPr="008F40EB" w:rsidRDefault="006702D3" w:rsidP="00C62144">
            <w:pPr>
              <w:pStyle w:val="NoSpacing"/>
              <w:jc w:val="both"/>
              <w:rPr>
                <w:i/>
                <w:iCs/>
                <w:szCs w:val="26"/>
                <w:u w:val="single"/>
              </w:rPr>
            </w:pPr>
            <w:r w:rsidRPr="00A551D0">
              <w:rPr>
                <w:szCs w:val="26"/>
              </w:rPr>
              <w:t xml:space="preserve">Impose a penalty for contravention of </w:t>
            </w:r>
            <w:r>
              <w:rPr>
                <w:szCs w:val="26"/>
              </w:rPr>
              <w:t xml:space="preserve">new </w:t>
            </w:r>
            <w:r w:rsidRPr="00A551D0">
              <w:rPr>
                <w:szCs w:val="26"/>
              </w:rPr>
              <w:t>section 155</w:t>
            </w:r>
            <w:r>
              <w:rPr>
                <w:szCs w:val="26"/>
              </w:rPr>
              <w:t>C</w:t>
            </w:r>
            <w:r w:rsidRPr="00A551D0">
              <w:rPr>
                <w:szCs w:val="26"/>
              </w:rPr>
              <w:t xml:space="preserve">. The penalty is a </w:t>
            </w:r>
            <w:r w:rsidRPr="00A551D0">
              <w:rPr>
                <w:iCs/>
                <w:szCs w:val="26"/>
              </w:rPr>
              <w:t>fine not exceeding $10,000, imprisonment for a term not exceeding 2 years or both.</w:t>
            </w:r>
          </w:p>
        </w:tc>
        <w:tc>
          <w:tcPr>
            <w:tcW w:w="3119" w:type="dxa"/>
            <w:shd w:val="clear" w:color="auto" w:fill="auto"/>
          </w:tcPr>
          <w:p w:rsidR="006702D3" w:rsidRPr="008F40EB" w:rsidRDefault="006702D3" w:rsidP="008F40EB">
            <w:pPr>
              <w:pStyle w:val="NoSpacing"/>
              <w:jc w:val="both"/>
              <w:rPr>
                <w:iCs/>
                <w:szCs w:val="26"/>
              </w:rPr>
            </w:pPr>
            <w:r w:rsidRPr="00A551D0">
              <w:rPr>
                <w:szCs w:val="26"/>
              </w:rPr>
              <w:t>The penalty is the same as the existing penalty under section 154(5) on disqualification to act as directors on conviction of certain offences.</w:t>
            </w:r>
          </w:p>
        </w:tc>
      </w:tr>
      <w:tr w:rsidR="006702D3" w:rsidRPr="003E6052" w:rsidTr="00E461EB">
        <w:tc>
          <w:tcPr>
            <w:tcW w:w="1126" w:type="dxa"/>
            <w:vMerge/>
          </w:tcPr>
          <w:p w:rsidR="006702D3" w:rsidRPr="00755BB9" w:rsidRDefault="006702D3" w:rsidP="00755BB9">
            <w:pPr>
              <w:jc w:val="center"/>
              <w:rPr>
                <w:szCs w:val="26"/>
              </w:rPr>
            </w:pPr>
          </w:p>
        </w:tc>
        <w:tc>
          <w:tcPr>
            <w:tcW w:w="5253" w:type="dxa"/>
            <w:gridSpan w:val="2"/>
            <w:vMerge/>
          </w:tcPr>
          <w:p w:rsidR="006702D3" w:rsidRPr="00A551D0" w:rsidRDefault="006702D3" w:rsidP="00A551D0">
            <w:pPr>
              <w:jc w:val="both"/>
              <w:rPr>
                <w:szCs w:val="26"/>
              </w:rPr>
            </w:pPr>
          </w:p>
        </w:tc>
        <w:tc>
          <w:tcPr>
            <w:tcW w:w="4395" w:type="dxa"/>
            <w:shd w:val="clear" w:color="auto" w:fill="auto"/>
          </w:tcPr>
          <w:p w:rsidR="006702D3" w:rsidRPr="00A551D0" w:rsidRDefault="006702D3" w:rsidP="000844F8">
            <w:pPr>
              <w:pStyle w:val="NoSpacing"/>
              <w:jc w:val="both"/>
              <w:rPr>
                <w:szCs w:val="26"/>
              </w:rPr>
            </w:pPr>
            <w:r w:rsidRPr="00A551D0">
              <w:rPr>
                <w:szCs w:val="26"/>
              </w:rPr>
              <w:t xml:space="preserve">Allow a person who is disqualified under </w:t>
            </w:r>
            <w:r>
              <w:rPr>
                <w:szCs w:val="26"/>
              </w:rPr>
              <w:t xml:space="preserve">new </w:t>
            </w:r>
            <w:r w:rsidRPr="00A551D0">
              <w:rPr>
                <w:szCs w:val="26"/>
              </w:rPr>
              <w:t>section 155</w:t>
            </w:r>
            <w:r>
              <w:rPr>
                <w:szCs w:val="26"/>
              </w:rPr>
              <w:t>C</w:t>
            </w:r>
            <w:r w:rsidRPr="00A551D0">
              <w:rPr>
                <w:szCs w:val="26"/>
              </w:rPr>
              <w:t xml:space="preserve"> by virtue of being automatically disqualified or </w:t>
            </w:r>
            <w:r w:rsidRPr="00A551D0">
              <w:rPr>
                <w:szCs w:val="26"/>
              </w:rPr>
              <w:lastRenderedPageBreak/>
              <w:t>subject to a disqualification order under section 34 or 36 of the Limited Liability Partnership</w:t>
            </w:r>
            <w:r>
              <w:rPr>
                <w:szCs w:val="26"/>
              </w:rPr>
              <w:t>s</w:t>
            </w:r>
            <w:r w:rsidRPr="00A551D0">
              <w:rPr>
                <w:szCs w:val="26"/>
              </w:rPr>
              <w:t xml:space="preserve"> Act to apply for leave to act as director or to be concerned in the management of a corporation.</w:t>
            </w:r>
          </w:p>
        </w:tc>
        <w:tc>
          <w:tcPr>
            <w:tcW w:w="3119" w:type="dxa"/>
            <w:shd w:val="clear" w:color="auto" w:fill="auto"/>
          </w:tcPr>
          <w:p w:rsidR="006702D3" w:rsidRPr="00A551D0" w:rsidRDefault="006702D3" w:rsidP="008F40EB">
            <w:pPr>
              <w:pStyle w:val="NoSpacing"/>
              <w:jc w:val="both"/>
              <w:rPr>
                <w:szCs w:val="26"/>
              </w:rPr>
            </w:pPr>
            <w:r>
              <w:rPr>
                <w:szCs w:val="26"/>
              </w:rPr>
              <w:lastRenderedPageBreak/>
              <w:t xml:space="preserve">Introduce </w:t>
            </w:r>
            <w:r w:rsidRPr="00A551D0">
              <w:rPr>
                <w:szCs w:val="26"/>
              </w:rPr>
              <w:t xml:space="preserve">avenues for persons to apply for leave to act as directors or take </w:t>
            </w:r>
            <w:r w:rsidRPr="00A551D0">
              <w:rPr>
                <w:szCs w:val="26"/>
              </w:rPr>
              <w:lastRenderedPageBreak/>
              <w:t>part in the management of a corporation.</w:t>
            </w:r>
          </w:p>
        </w:tc>
      </w:tr>
      <w:tr w:rsidR="006702D3" w:rsidRPr="003E6052" w:rsidTr="00C42E01">
        <w:tc>
          <w:tcPr>
            <w:tcW w:w="13893" w:type="dxa"/>
            <w:gridSpan w:val="5"/>
            <w:shd w:val="clear" w:color="auto" w:fill="FBD4B4" w:themeFill="accent6" w:themeFillTint="66"/>
          </w:tcPr>
          <w:p w:rsidR="006702D3" w:rsidRPr="006A2353" w:rsidRDefault="006702D3" w:rsidP="00AD7E69">
            <w:pPr>
              <w:pStyle w:val="NoSpacing"/>
              <w:jc w:val="both"/>
              <w:rPr>
                <w:b/>
              </w:rPr>
            </w:pPr>
            <w:r w:rsidRPr="006A2353">
              <w:rPr>
                <w:b/>
              </w:rPr>
              <w:lastRenderedPageBreak/>
              <w:t xml:space="preserve">Declaration of director’s interest under </w:t>
            </w:r>
            <w:r w:rsidRPr="007B4B2B">
              <w:rPr>
                <w:b/>
              </w:rPr>
              <w:t>section 156(1)</w:t>
            </w:r>
          </w:p>
        </w:tc>
      </w:tr>
      <w:tr w:rsidR="006702D3" w:rsidRPr="003E6052" w:rsidTr="00E461EB">
        <w:tc>
          <w:tcPr>
            <w:tcW w:w="1126" w:type="dxa"/>
          </w:tcPr>
          <w:p w:rsidR="006702D3" w:rsidRPr="00755BB9" w:rsidRDefault="006702D3" w:rsidP="00815E0C">
            <w:pPr>
              <w:jc w:val="center"/>
              <w:rPr>
                <w:szCs w:val="26"/>
              </w:rPr>
            </w:pPr>
            <w:r>
              <w:rPr>
                <w:szCs w:val="26"/>
              </w:rPr>
              <w:t>22</w:t>
            </w:r>
          </w:p>
        </w:tc>
        <w:tc>
          <w:tcPr>
            <w:tcW w:w="5253" w:type="dxa"/>
            <w:gridSpan w:val="2"/>
          </w:tcPr>
          <w:p w:rsidR="006702D3" w:rsidRDefault="006702D3" w:rsidP="005519E3">
            <w:pPr>
              <w:pStyle w:val="NoSpacing"/>
              <w:jc w:val="both"/>
            </w:pPr>
            <w:r>
              <w:t xml:space="preserve">Section 156 requires a director to declare his interests in a transaction or proposed transaction with the company </w:t>
            </w:r>
            <w:r w:rsidRPr="00F5495E">
              <w:t>at a meeting of the directors</w:t>
            </w:r>
            <w:r>
              <w:t>.</w:t>
            </w:r>
          </w:p>
        </w:tc>
        <w:tc>
          <w:tcPr>
            <w:tcW w:w="4395" w:type="dxa"/>
            <w:shd w:val="clear" w:color="auto" w:fill="auto"/>
          </w:tcPr>
          <w:p w:rsidR="006702D3" w:rsidRDefault="006702D3" w:rsidP="00086D80">
            <w:pPr>
              <w:pStyle w:val="NoSpacing"/>
              <w:jc w:val="both"/>
            </w:pPr>
            <w:r>
              <w:t>Repeal and re-enact section 156 to allow the declaration to be recorded in writing, instead of at a directors’ meeting. The amendments relating to written notice are in subsections (1)(b), (2), (5), (6)(b), (8) and (9).</w:t>
            </w:r>
          </w:p>
          <w:p w:rsidR="00D759CA" w:rsidRDefault="00D759CA" w:rsidP="00C3466E">
            <w:pPr>
              <w:pStyle w:val="NoSpacing"/>
              <w:jc w:val="both"/>
              <w:rPr>
                <w:szCs w:val="26"/>
              </w:rPr>
            </w:pPr>
          </w:p>
          <w:p w:rsidR="001B1592" w:rsidRPr="001B1592" w:rsidRDefault="006702D3" w:rsidP="00C3466E">
            <w:pPr>
              <w:pStyle w:val="NoSpacing"/>
              <w:jc w:val="both"/>
              <w:rPr>
                <w:szCs w:val="26"/>
              </w:rPr>
            </w:pPr>
            <w:r>
              <w:rPr>
                <w:szCs w:val="26"/>
              </w:rPr>
              <w:t>(Note: The re-enacted provision also reflects other amendments proposed in the first part of the draft Bill</w:t>
            </w:r>
            <w:r w:rsidR="00972B7B">
              <w:rPr>
                <w:rStyle w:val="FootnoteReference"/>
              </w:rPr>
              <w:footnoteReference w:id="1"/>
            </w:r>
            <w:r>
              <w:rPr>
                <w:szCs w:val="26"/>
              </w:rPr>
              <w:t>, which was published for public feedback in May 2013.)</w:t>
            </w:r>
          </w:p>
        </w:tc>
        <w:tc>
          <w:tcPr>
            <w:tcW w:w="3119" w:type="dxa"/>
            <w:shd w:val="clear" w:color="auto" w:fill="auto"/>
          </w:tcPr>
          <w:p w:rsidR="006702D3" w:rsidRDefault="006702D3" w:rsidP="00AD7E69">
            <w:pPr>
              <w:pStyle w:val="NoSpacing"/>
              <w:jc w:val="both"/>
            </w:pPr>
            <w:r>
              <w:t>Provide greater flexibility on how declarations can be recorded.</w:t>
            </w:r>
          </w:p>
        </w:tc>
      </w:tr>
      <w:tr w:rsidR="006702D3" w:rsidRPr="003E6052" w:rsidTr="00C42E01">
        <w:tc>
          <w:tcPr>
            <w:tcW w:w="13893" w:type="dxa"/>
            <w:gridSpan w:val="5"/>
            <w:shd w:val="clear" w:color="auto" w:fill="FBD4B4" w:themeFill="accent6" w:themeFillTint="66"/>
          </w:tcPr>
          <w:p w:rsidR="006702D3" w:rsidRPr="001B1592" w:rsidRDefault="006702D3" w:rsidP="001B1592">
            <w:pPr>
              <w:pStyle w:val="NoSpacing"/>
              <w:jc w:val="both"/>
              <w:rPr>
                <w:b/>
              </w:rPr>
            </w:pPr>
            <w:r w:rsidRPr="001B1592">
              <w:rPr>
                <w:b/>
              </w:rPr>
              <w:t>Clarify making of loans to directors under section 162</w:t>
            </w:r>
          </w:p>
        </w:tc>
      </w:tr>
      <w:tr w:rsidR="006702D3" w:rsidRPr="003E6052" w:rsidTr="00E461EB">
        <w:trPr>
          <w:trHeight w:val="793"/>
        </w:trPr>
        <w:tc>
          <w:tcPr>
            <w:tcW w:w="1126" w:type="dxa"/>
          </w:tcPr>
          <w:p w:rsidR="006702D3" w:rsidRPr="00BD2BFD" w:rsidRDefault="006702D3" w:rsidP="00120ED9">
            <w:pPr>
              <w:jc w:val="center"/>
            </w:pPr>
            <w:r w:rsidRPr="00BD2BFD">
              <w:t>23</w:t>
            </w:r>
          </w:p>
        </w:tc>
        <w:tc>
          <w:tcPr>
            <w:tcW w:w="5253" w:type="dxa"/>
            <w:gridSpan w:val="2"/>
          </w:tcPr>
          <w:p w:rsidR="006702D3" w:rsidRPr="00BD2BFD" w:rsidRDefault="006702D3" w:rsidP="00BD2BFD">
            <w:pPr>
              <w:jc w:val="both"/>
            </w:pPr>
            <w:r w:rsidRPr="00BD2BFD">
              <w:t>Section 162 prohibits a company (other than an exempt private company) from making a loan to its directors or to directors of related corporations, or to the directors’ spouse or children, or giving a guarantee or security in connection with such a loan. There are exceptions.</w:t>
            </w:r>
          </w:p>
        </w:tc>
        <w:tc>
          <w:tcPr>
            <w:tcW w:w="4395" w:type="dxa"/>
            <w:shd w:val="clear" w:color="auto" w:fill="auto"/>
          </w:tcPr>
          <w:p w:rsidR="006702D3" w:rsidRPr="00BD2BFD" w:rsidRDefault="006702D3" w:rsidP="00BD2BFD">
            <w:pPr>
              <w:jc w:val="both"/>
            </w:pPr>
            <w:r w:rsidRPr="00BD2BFD">
              <w:t xml:space="preserve">Repeal and re-enact section 162 by clarifying that if a loan (or other restricted transactions, i.e. quasi-loan, credit transaction and related arrangement) is made to a person at the time when he is not yet a director, it must be recalled when he becomes a </w:t>
            </w:r>
            <w:r w:rsidRPr="00BD2BFD">
              <w:lastRenderedPageBreak/>
              <w:t>director later.</w:t>
            </w:r>
          </w:p>
          <w:p w:rsidR="006702D3" w:rsidRPr="00BD2BFD" w:rsidRDefault="006702D3" w:rsidP="00BD2BFD">
            <w:pPr>
              <w:jc w:val="both"/>
            </w:pPr>
          </w:p>
          <w:p w:rsidR="006702D3" w:rsidRPr="00BD2BFD" w:rsidRDefault="006702D3" w:rsidP="00BD2BFD">
            <w:pPr>
              <w:jc w:val="both"/>
            </w:pPr>
            <w:r w:rsidRPr="00BD2BFD">
              <w:t>(Note: The re-enacted provision also reflects other amendments proposed in the first part of the draft Bill, which was published for public feedback in May 2013.)</w:t>
            </w:r>
          </w:p>
        </w:tc>
        <w:tc>
          <w:tcPr>
            <w:tcW w:w="3119" w:type="dxa"/>
            <w:shd w:val="clear" w:color="auto" w:fill="auto"/>
          </w:tcPr>
          <w:p w:rsidR="006702D3" w:rsidRPr="00BD2BFD" w:rsidRDefault="006702D3" w:rsidP="00BD2BFD">
            <w:pPr>
              <w:jc w:val="both"/>
            </w:pPr>
            <w:r w:rsidRPr="00BD2BFD">
              <w:lastRenderedPageBreak/>
              <w:t>For clarity.</w:t>
            </w:r>
          </w:p>
        </w:tc>
      </w:tr>
      <w:tr w:rsidR="006702D3" w:rsidRPr="003E6052" w:rsidTr="00C42E01">
        <w:tc>
          <w:tcPr>
            <w:tcW w:w="13893" w:type="dxa"/>
            <w:gridSpan w:val="5"/>
            <w:shd w:val="clear" w:color="auto" w:fill="FBD4B4" w:themeFill="accent6" w:themeFillTint="66"/>
          </w:tcPr>
          <w:p w:rsidR="006702D3" w:rsidRPr="00A551D0" w:rsidRDefault="006702D3" w:rsidP="0014221D">
            <w:pPr>
              <w:pStyle w:val="NoSpacing"/>
              <w:jc w:val="both"/>
              <w:rPr>
                <w:szCs w:val="26"/>
              </w:rPr>
            </w:pPr>
            <w:r>
              <w:rPr>
                <w:b/>
              </w:rPr>
              <w:lastRenderedPageBreak/>
              <w:t xml:space="preserve">Update </w:t>
            </w:r>
            <w:r w:rsidRPr="00467704">
              <w:rPr>
                <w:b/>
              </w:rPr>
              <w:t>general duty to make disclosure under section 165</w:t>
            </w:r>
          </w:p>
        </w:tc>
      </w:tr>
      <w:tr w:rsidR="006702D3" w:rsidRPr="003E6052" w:rsidTr="00E461EB">
        <w:tc>
          <w:tcPr>
            <w:tcW w:w="1126" w:type="dxa"/>
          </w:tcPr>
          <w:p w:rsidR="006702D3" w:rsidRPr="00755BB9" w:rsidRDefault="006702D3" w:rsidP="00755BB9">
            <w:pPr>
              <w:jc w:val="center"/>
              <w:rPr>
                <w:szCs w:val="26"/>
              </w:rPr>
            </w:pPr>
            <w:r>
              <w:rPr>
                <w:szCs w:val="26"/>
              </w:rPr>
              <w:t>24</w:t>
            </w:r>
          </w:p>
        </w:tc>
        <w:tc>
          <w:tcPr>
            <w:tcW w:w="5253" w:type="dxa"/>
            <w:gridSpan w:val="2"/>
          </w:tcPr>
          <w:p w:rsidR="006702D3" w:rsidRDefault="006702D3" w:rsidP="00AD7E69">
            <w:pPr>
              <w:pStyle w:val="NoSpacing"/>
              <w:jc w:val="both"/>
            </w:pPr>
            <w:r w:rsidRPr="00EC6529">
              <w:t xml:space="preserve">Section 165(1) </w:t>
            </w:r>
            <w:r>
              <w:t xml:space="preserve">read with section 164 </w:t>
            </w:r>
            <w:r w:rsidRPr="00EC6529">
              <w:t>requires directors to disclose their interests in shares</w:t>
            </w:r>
            <w:r>
              <w:t>,</w:t>
            </w:r>
            <w:r w:rsidRPr="00EC6529">
              <w:t xml:space="preserve"> debentures, etc. in</w:t>
            </w:r>
            <w:r>
              <w:t xml:space="preserve"> the:</w:t>
            </w:r>
          </w:p>
          <w:p w:rsidR="006702D3" w:rsidRDefault="006702D3" w:rsidP="00924C35">
            <w:pPr>
              <w:pStyle w:val="NoSpacing"/>
              <w:numPr>
                <w:ilvl w:val="0"/>
                <w:numId w:val="28"/>
              </w:numPr>
              <w:jc w:val="both"/>
            </w:pPr>
            <w:r w:rsidRPr="00EC6529">
              <w:t>company</w:t>
            </w:r>
            <w:r>
              <w:t>;</w:t>
            </w:r>
            <w:r w:rsidRPr="00EC6529">
              <w:t xml:space="preserve"> or</w:t>
            </w:r>
          </w:p>
          <w:p w:rsidR="006702D3" w:rsidRDefault="006702D3" w:rsidP="00924C35">
            <w:pPr>
              <w:pStyle w:val="NoSpacing"/>
              <w:numPr>
                <w:ilvl w:val="0"/>
                <w:numId w:val="28"/>
              </w:numPr>
              <w:jc w:val="both"/>
            </w:pPr>
            <w:r w:rsidRPr="00992C1D">
              <w:rPr>
                <w:u w:val="single"/>
              </w:rPr>
              <w:t>related corporation</w:t>
            </w:r>
            <w:r w:rsidRPr="00EC6529">
              <w:t xml:space="preserve"> </w:t>
            </w:r>
            <w:r>
              <w:t>(i.e. parent company, subsidiaries and fellow subsidiaries)</w:t>
            </w:r>
            <w:r w:rsidRPr="00EC6529">
              <w:t>.</w:t>
            </w:r>
          </w:p>
          <w:p w:rsidR="006702D3" w:rsidRPr="00EC6529" w:rsidRDefault="006702D3" w:rsidP="00AD7E69">
            <w:pPr>
              <w:pStyle w:val="NoSpacing"/>
              <w:jc w:val="both"/>
            </w:pPr>
            <w:r>
              <w:t xml:space="preserve">The disclosure is made to the company for updating of the register of directors’ shareholdings. </w:t>
            </w:r>
            <w:r w:rsidRPr="00EC6529">
              <w:t>(There are some exceptions relating to wholly-owned subsidiaries.)</w:t>
            </w:r>
          </w:p>
        </w:tc>
        <w:tc>
          <w:tcPr>
            <w:tcW w:w="4395" w:type="dxa"/>
            <w:shd w:val="clear" w:color="auto" w:fill="auto"/>
          </w:tcPr>
          <w:p w:rsidR="006702D3" w:rsidRDefault="006702D3" w:rsidP="00AD7E69">
            <w:pPr>
              <w:pStyle w:val="NoSpacing"/>
              <w:jc w:val="both"/>
            </w:pPr>
            <w:r w:rsidRPr="00EC6529">
              <w:t>Amend section 16</w:t>
            </w:r>
            <w:r>
              <w:t>4</w:t>
            </w:r>
            <w:r w:rsidRPr="00EC6529">
              <w:t xml:space="preserve"> </w:t>
            </w:r>
            <w:r>
              <w:t xml:space="preserve">so that </w:t>
            </w:r>
            <w:r w:rsidRPr="00EC6529">
              <w:t xml:space="preserve">directors </w:t>
            </w:r>
            <w:r>
              <w:t xml:space="preserve">are required </w:t>
            </w:r>
            <w:r w:rsidRPr="00EC6529">
              <w:t>to disclose interests in shares</w:t>
            </w:r>
            <w:r>
              <w:t>, debentures,</w:t>
            </w:r>
            <w:r w:rsidRPr="00EC6529">
              <w:t xml:space="preserve"> etc. </w:t>
            </w:r>
            <w:r>
              <w:t>in the:</w:t>
            </w:r>
          </w:p>
          <w:p w:rsidR="006702D3" w:rsidRDefault="006702D3" w:rsidP="00924C35">
            <w:pPr>
              <w:pStyle w:val="NoSpacing"/>
              <w:numPr>
                <w:ilvl w:val="0"/>
                <w:numId w:val="29"/>
              </w:numPr>
              <w:jc w:val="both"/>
            </w:pPr>
            <w:r>
              <w:t>company; or</w:t>
            </w:r>
          </w:p>
          <w:p w:rsidR="006702D3" w:rsidRDefault="006702D3" w:rsidP="00924C35">
            <w:pPr>
              <w:pStyle w:val="NoSpacing"/>
              <w:numPr>
                <w:ilvl w:val="0"/>
                <w:numId w:val="29"/>
              </w:numPr>
              <w:jc w:val="both"/>
            </w:pPr>
            <w:r w:rsidRPr="00992C1D">
              <w:rPr>
                <w:u w:val="single"/>
              </w:rPr>
              <w:t>parent company and subsidiaries</w:t>
            </w:r>
            <w:r>
              <w:t>.</w:t>
            </w:r>
          </w:p>
          <w:p w:rsidR="006702D3" w:rsidRDefault="006702D3" w:rsidP="006544A9">
            <w:pPr>
              <w:pStyle w:val="NoSpacing"/>
              <w:jc w:val="both"/>
              <w:rPr>
                <w:u w:val="single"/>
              </w:rPr>
            </w:pPr>
          </w:p>
          <w:p w:rsidR="006702D3" w:rsidRPr="00EC6529" w:rsidRDefault="006702D3" w:rsidP="006544A9">
            <w:pPr>
              <w:pStyle w:val="NoSpacing"/>
              <w:jc w:val="both"/>
            </w:pPr>
            <w:r>
              <w:t>(Note: The amendments also reflect other amendments proposed in the first part of the draft Bill, which was published for public feedback in May 2013.)</w:t>
            </w:r>
          </w:p>
        </w:tc>
        <w:tc>
          <w:tcPr>
            <w:tcW w:w="3119" w:type="dxa"/>
            <w:shd w:val="clear" w:color="auto" w:fill="auto"/>
          </w:tcPr>
          <w:p w:rsidR="006702D3" w:rsidRPr="003B16E3" w:rsidRDefault="006702D3" w:rsidP="003B16E3">
            <w:pPr>
              <w:pStyle w:val="NoSpacing"/>
              <w:jc w:val="both"/>
              <w:rPr>
                <w:szCs w:val="26"/>
              </w:rPr>
            </w:pPr>
            <w:r w:rsidRPr="003B16E3">
              <w:rPr>
                <w:szCs w:val="26"/>
              </w:rPr>
              <w:t>United Kingdom (UK), Australia and Hong Kong (HK) have done away with the register of directors’ shareholdings</w:t>
            </w:r>
            <w:r w:rsidRPr="00BB0E07">
              <w:rPr>
                <w:rStyle w:val="FootnoteReference"/>
                <w:szCs w:val="26"/>
              </w:rPr>
              <w:footnoteReference w:id="2"/>
            </w:r>
            <w:r w:rsidRPr="003B16E3">
              <w:rPr>
                <w:szCs w:val="26"/>
              </w:rPr>
              <w:t>. Thus, there is no such disclosure requirement in these jurisdictions. However, we have considered and decided to retain such disclosures because the information about directors’ shareholdings is useful for shareholders and minority investors in assessing whether there is a conflict of interest.</w:t>
            </w:r>
          </w:p>
          <w:p w:rsidR="006702D3" w:rsidRPr="003B16E3" w:rsidRDefault="006702D3" w:rsidP="003B16E3">
            <w:pPr>
              <w:pStyle w:val="NoSpacing"/>
              <w:jc w:val="both"/>
              <w:rPr>
                <w:szCs w:val="26"/>
              </w:rPr>
            </w:pPr>
          </w:p>
          <w:p w:rsidR="006702D3" w:rsidRPr="003B16E3" w:rsidRDefault="006702D3" w:rsidP="003B16E3">
            <w:pPr>
              <w:pStyle w:val="NoSpacing"/>
              <w:jc w:val="both"/>
              <w:rPr>
                <w:szCs w:val="26"/>
              </w:rPr>
            </w:pPr>
            <w:r w:rsidRPr="003B16E3">
              <w:rPr>
                <w:szCs w:val="26"/>
              </w:rPr>
              <w:t xml:space="preserve">Nevertheless we are of the </w:t>
            </w:r>
            <w:r w:rsidRPr="003B16E3">
              <w:rPr>
                <w:szCs w:val="26"/>
              </w:rPr>
              <w:lastRenderedPageBreak/>
              <w:t>view that it will not be necessary to disclose interests in shares, debentures, etc. in fellow subsidiaries as a company has no control over its fellow subsidiaries.</w:t>
            </w:r>
          </w:p>
        </w:tc>
      </w:tr>
      <w:tr w:rsidR="006702D3" w:rsidRPr="003E6052" w:rsidTr="00C42E01">
        <w:tc>
          <w:tcPr>
            <w:tcW w:w="13893" w:type="dxa"/>
            <w:gridSpan w:val="5"/>
            <w:shd w:val="clear" w:color="auto" w:fill="FBD4B4" w:themeFill="accent6" w:themeFillTint="66"/>
          </w:tcPr>
          <w:p w:rsidR="006702D3" w:rsidRPr="00FC5BD9" w:rsidRDefault="006702D3" w:rsidP="006153A0">
            <w:pPr>
              <w:pStyle w:val="NoSpacing"/>
              <w:jc w:val="both"/>
              <w:rPr>
                <w:szCs w:val="26"/>
              </w:rPr>
            </w:pPr>
            <w:r w:rsidRPr="00FC5BD9">
              <w:rPr>
                <w:b/>
                <w:bCs/>
                <w:szCs w:val="26"/>
              </w:rPr>
              <w:lastRenderedPageBreak/>
              <w:t>Company secretary</w:t>
            </w:r>
          </w:p>
        </w:tc>
      </w:tr>
      <w:tr w:rsidR="006702D3" w:rsidRPr="003E6052" w:rsidTr="00E461EB">
        <w:tc>
          <w:tcPr>
            <w:tcW w:w="1126" w:type="dxa"/>
            <w:vMerge w:val="restart"/>
          </w:tcPr>
          <w:p w:rsidR="006702D3" w:rsidRDefault="006702D3" w:rsidP="00755BB9">
            <w:pPr>
              <w:jc w:val="center"/>
              <w:rPr>
                <w:szCs w:val="26"/>
              </w:rPr>
            </w:pPr>
            <w:r>
              <w:rPr>
                <w:szCs w:val="26"/>
              </w:rPr>
              <w:t>25</w:t>
            </w:r>
          </w:p>
        </w:tc>
        <w:tc>
          <w:tcPr>
            <w:tcW w:w="5253" w:type="dxa"/>
            <w:gridSpan w:val="2"/>
          </w:tcPr>
          <w:p w:rsidR="006702D3" w:rsidRPr="00FC5BD9" w:rsidRDefault="006702D3" w:rsidP="00F76131">
            <w:pPr>
              <w:jc w:val="both"/>
              <w:rPr>
                <w:rFonts w:eastAsia="SimSun"/>
                <w:bCs/>
                <w:szCs w:val="26"/>
                <w:lang w:eastAsia="zh-CN"/>
              </w:rPr>
            </w:pPr>
            <w:r>
              <w:rPr>
                <w:szCs w:val="26"/>
              </w:rPr>
              <w:t>Section 171(1) sets out requirements which must be satisfied by a company secretary</w:t>
            </w:r>
            <w:r w:rsidRPr="00E45EB9">
              <w:rPr>
                <w:szCs w:val="26"/>
              </w:rPr>
              <w:t>.</w:t>
            </w:r>
          </w:p>
        </w:tc>
        <w:tc>
          <w:tcPr>
            <w:tcW w:w="4395" w:type="dxa"/>
            <w:shd w:val="clear" w:color="auto" w:fill="auto"/>
          </w:tcPr>
          <w:p w:rsidR="006702D3" w:rsidRPr="00040A41" w:rsidRDefault="006702D3" w:rsidP="00F76131">
            <w:pPr>
              <w:jc w:val="both"/>
              <w:rPr>
                <w:szCs w:val="26"/>
                <w:shd w:val="clear" w:color="auto" w:fill="FFFFFF"/>
              </w:rPr>
            </w:pPr>
            <w:r>
              <w:rPr>
                <w:szCs w:val="26"/>
              </w:rPr>
              <w:t>Amend section 171(1) to add a requirement that the person must not be debarred under the new section 155B</w:t>
            </w:r>
            <w:r w:rsidRPr="00E45EB9">
              <w:rPr>
                <w:szCs w:val="26"/>
              </w:rPr>
              <w:t>.</w:t>
            </w:r>
          </w:p>
        </w:tc>
        <w:tc>
          <w:tcPr>
            <w:tcW w:w="3119" w:type="dxa"/>
            <w:shd w:val="clear" w:color="auto" w:fill="auto"/>
          </w:tcPr>
          <w:p w:rsidR="006702D3" w:rsidRPr="00040A41" w:rsidDel="00613728" w:rsidRDefault="006702D3" w:rsidP="006544A9">
            <w:pPr>
              <w:jc w:val="both"/>
              <w:rPr>
                <w:szCs w:val="26"/>
                <w:shd w:val="clear" w:color="auto" w:fill="FFFFFF"/>
              </w:rPr>
            </w:pPr>
            <w:r>
              <w:rPr>
                <w:szCs w:val="26"/>
              </w:rPr>
              <w:t>Related to the new debarment regime under section 155B</w:t>
            </w:r>
            <w:r w:rsidRPr="00E45EB9">
              <w:rPr>
                <w:szCs w:val="26"/>
              </w:rPr>
              <w:t>.</w:t>
            </w:r>
          </w:p>
        </w:tc>
      </w:tr>
      <w:tr w:rsidR="006702D3" w:rsidRPr="003E6052" w:rsidTr="00E461EB">
        <w:tc>
          <w:tcPr>
            <w:tcW w:w="1126" w:type="dxa"/>
            <w:vMerge/>
          </w:tcPr>
          <w:p w:rsidR="006702D3" w:rsidRPr="00755BB9" w:rsidRDefault="006702D3" w:rsidP="00755BB9">
            <w:pPr>
              <w:jc w:val="center"/>
              <w:rPr>
                <w:szCs w:val="26"/>
              </w:rPr>
            </w:pPr>
          </w:p>
        </w:tc>
        <w:tc>
          <w:tcPr>
            <w:tcW w:w="5253" w:type="dxa"/>
            <w:gridSpan w:val="2"/>
          </w:tcPr>
          <w:p w:rsidR="006702D3" w:rsidRPr="00FC5BD9" w:rsidRDefault="006702D3" w:rsidP="0077556A">
            <w:pPr>
              <w:jc w:val="both"/>
              <w:rPr>
                <w:rFonts w:eastAsia="SimSun"/>
                <w:szCs w:val="26"/>
                <w:lang w:eastAsia="zh-CN"/>
              </w:rPr>
            </w:pPr>
            <w:r w:rsidRPr="00FC5BD9">
              <w:rPr>
                <w:rFonts w:eastAsia="SimSun"/>
                <w:bCs/>
                <w:szCs w:val="26"/>
                <w:lang w:eastAsia="zh-CN"/>
              </w:rPr>
              <w:t xml:space="preserve">Section 171(1AA) prescribes the </w:t>
            </w:r>
            <w:r>
              <w:rPr>
                <w:rFonts w:eastAsia="SimSun"/>
                <w:bCs/>
                <w:szCs w:val="26"/>
                <w:lang w:eastAsia="zh-CN"/>
              </w:rPr>
              <w:t>requirements</w:t>
            </w:r>
            <w:r w:rsidRPr="00FC5BD9">
              <w:rPr>
                <w:rFonts w:eastAsia="SimSun"/>
                <w:bCs/>
                <w:szCs w:val="26"/>
                <w:lang w:eastAsia="zh-CN"/>
              </w:rPr>
              <w:t xml:space="preserve"> of a company secretary of a public company. In particular, section 171(1AA)(c) provides that the company secretary should be </w:t>
            </w:r>
            <w:r>
              <w:rPr>
                <w:rFonts w:eastAsia="SimSun"/>
                <w:bCs/>
                <w:szCs w:val="26"/>
                <w:lang w:eastAsia="zh-CN"/>
              </w:rPr>
              <w:t>“</w:t>
            </w:r>
            <w:r w:rsidRPr="00F5495E">
              <w:rPr>
                <w:rFonts w:eastAsia="SimSun"/>
                <w:szCs w:val="26"/>
                <w:lang w:eastAsia="zh-CN"/>
              </w:rPr>
              <w:t>a qualified person under the Legal Profession Act (Cap. 161), a public accountant, a member of the Singapore Association of the Institute of Chartered Secretaries and Administrators, or a member of such other professional association as may be prescribed”. Section 171(1AA</w:t>
            </w:r>
            <w:r w:rsidRPr="00FC5BD9">
              <w:rPr>
                <w:rFonts w:eastAsia="SimSun"/>
                <w:szCs w:val="26"/>
                <w:lang w:eastAsia="zh-CN"/>
              </w:rPr>
              <w:t>)(d) is a catch-all limb to allow the prescription of other academic or professional qualifications.</w:t>
            </w:r>
          </w:p>
        </w:tc>
        <w:tc>
          <w:tcPr>
            <w:tcW w:w="4395" w:type="dxa"/>
            <w:shd w:val="clear" w:color="auto" w:fill="auto"/>
          </w:tcPr>
          <w:p w:rsidR="006702D3" w:rsidRPr="00040A41" w:rsidRDefault="006702D3" w:rsidP="00040A41">
            <w:pPr>
              <w:jc w:val="both"/>
              <w:rPr>
                <w:szCs w:val="26"/>
                <w:shd w:val="clear" w:color="auto" w:fill="FFFFFF"/>
              </w:rPr>
            </w:pPr>
            <w:r w:rsidRPr="00040A41">
              <w:rPr>
                <w:szCs w:val="26"/>
                <w:shd w:val="clear" w:color="auto" w:fill="FFFFFF"/>
              </w:rPr>
              <w:t>Delete reference to the Singapore Association of the Institute of Chartered Secretaries and Administrators (SAICSA) from section 171(1AA)(c).</w:t>
            </w:r>
            <w:r>
              <w:rPr>
                <w:szCs w:val="26"/>
                <w:shd w:val="clear" w:color="auto" w:fill="FFFFFF"/>
              </w:rPr>
              <w:t xml:space="preserve"> </w:t>
            </w:r>
            <w:r w:rsidRPr="00040A41">
              <w:rPr>
                <w:szCs w:val="26"/>
                <w:shd w:val="clear" w:color="auto" w:fill="FFFFFF"/>
              </w:rPr>
              <w:t>SAICSA will be prescribed as a “professional association” under section 171(1AA)(d).</w:t>
            </w:r>
          </w:p>
        </w:tc>
        <w:tc>
          <w:tcPr>
            <w:tcW w:w="3119" w:type="dxa"/>
            <w:shd w:val="clear" w:color="auto" w:fill="auto"/>
          </w:tcPr>
          <w:p w:rsidR="006702D3" w:rsidRDefault="006702D3">
            <w:pPr>
              <w:jc w:val="both"/>
              <w:rPr>
                <w:szCs w:val="26"/>
                <w:shd w:val="clear" w:color="auto" w:fill="FFFFFF"/>
              </w:rPr>
            </w:pPr>
            <w:r>
              <w:rPr>
                <w:szCs w:val="26"/>
                <w:shd w:val="clear" w:color="auto" w:fill="FFFFFF"/>
              </w:rPr>
              <w:t>F</w:t>
            </w:r>
            <w:r w:rsidRPr="00040A41">
              <w:rPr>
                <w:szCs w:val="26"/>
                <w:shd w:val="clear" w:color="auto" w:fill="FFFFFF"/>
              </w:rPr>
              <w:t xml:space="preserve">or consistency with other professional associations. </w:t>
            </w:r>
            <w:r>
              <w:rPr>
                <w:szCs w:val="26"/>
                <w:shd w:val="clear" w:color="auto" w:fill="FFFFFF"/>
              </w:rPr>
              <w:t xml:space="preserve"> No change in the substantive effect of the provision.</w:t>
            </w:r>
          </w:p>
        </w:tc>
      </w:tr>
      <w:tr w:rsidR="006702D3" w:rsidRPr="003E6052" w:rsidTr="00E461EB">
        <w:tc>
          <w:tcPr>
            <w:tcW w:w="1126" w:type="dxa"/>
            <w:vMerge/>
          </w:tcPr>
          <w:p w:rsidR="006702D3" w:rsidRPr="00755BB9" w:rsidRDefault="006702D3" w:rsidP="00755BB9">
            <w:pPr>
              <w:jc w:val="center"/>
              <w:rPr>
                <w:szCs w:val="26"/>
              </w:rPr>
            </w:pPr>
          </w:p>
        </w:tc>
        <w:tc>
          <w:tcPr>
            <w:tcW w:w="5253" w:type="dxa"/>
            <w:gridSpan w:val="2"/>
          </w:tcPr>
          <w:p w:rsidR="00210AE7" w:rsidRPr="00FC5BD9" w:rsidRDefault="006702D3" w:rsidP="00877A13">
            <w:pPr>
              <w:jc w:val="both"/>
              <w:rPr>
                <w:rFonts w:eastAsia="SimSun"/>
                <w:bCs/>
                <w:szCs w:val="26"/>
                <w:lang w:eastAsia="zh-CN"/>
              </w:rPr>
            </w:pPr>
            <w:r w:rsidRPr="009C5E62">
              <w:rPr>
                <w:rFonts w:eastAsia="SimSun"/>
                <w:bCs/>
                <w:szCs w:val="26"/>
                <w:lang w:eastAsia="zh-CN"/>
              </w:rPr>
              <w:t>Section 171(1D) provides that “</w:t>
            </w:r>
            <w:r w:rsidRPr="00F5495E">
              <w:rPr>
                <w:rFonts w:eastAsia="SimSun"/>
                <w:bCs/>
                <w:szCs w:val="26"/>
                <w:lang w:eastAsia="zh-CN"/>
              </w:rPr>
              <w:t xml:space="preserve">In this </w:t>
            </w:r>
            <w:r w:rsidRPr="00F5495E">
              <w:rPr>
                <w:rFonts w:eastAsia="SimSun"/>
                <w:bCs/>
                <w:szCs w:val="26"/>
                <w:u w:val="single"/>
                <w:lang w:eastAsia="zh-CN"/>
              </w:rPr>
              <w:t>subsection</w:t>
            </w:r>
            <w:r w:rsidRPr="00F5495E">
              <w:rPr>
                <w:rFonts w:eastAsia="SimSun"/>
                <w:bCs/>
                <w:szCs w:val="26"/>
                <w:lang w:eastAsia="zh-CN"/>
              </w:rPr>
              <w:t xml:space="preserve"> and section 173, ‘secretary’ includes an assistant or deputy secretary”.</w:t>
            </w:r>
          </w:p>
        </w:tc>
        <w:tc>
          <w:tcPr>
            <w:tcW w:w="4395" w:type="dxa"/>
            <w:shd w:val="clear" w:color="auto" w:fill="auto"/>
          </w:tcPr>
          <w:p w:rsidR="006702D3" w:rsidRPr="00040A41" w:rsidRDefault="006702D3" w:rsidP="0061334C">
            <w:pPr>
              <w:jc w:val="both"/>
              <w:rPr>
                <w:szCs w:val="26"/>
                <w:shd w:val="clear" w:color="auto" w:fill="FFFFFF"/>
              </w:rPr>
            </w:pPr>
            <w:r w:rsidRPr="00040A41">
              <w:rPr>
                <w:szCs w:val="26"/>
                <w:shd w:val="clear" w:color="auto" w:fill="FFFFFF"/>
              </w:rPr>
              <w:t xml:space="preserve">Replace “subsection” </w:t>
            </w:r>
            <w:r w:rsidR="00C45086">
              <w:rPr>
                <w:szCs w:val="26"/>
                <w:shd w:val="clear" w:color="auto" w:fill="FFFFFF"/>
              </w:rPr>
              <w:t>with</w:t>
            </w:r>
            <w:r w:rsidR="00C45086" w:rsidRPr="00040A41">
              <w:rPr>
                <w:szCs w:val="26"/>
                <w:shd w:val="clear" w:color="auto" w:fill="FFFFFF"/>
              </w:rPr>
              <w:t xml:space="preserve"> </w:t>
            </w:r>
            <w:r w:rsidRPr="00040A41">
              <w:rPr>
                <w:szCs w:val="26"/>
                <w:shd w:val="clear" w:color="auto" w:fill="FFFFFF"/>
              </w:rPr>
              <w:t>“section” in section 171(1D).</w:t>
            </w:r>
          </w:p>
        </w:tc>
        <w:tc>
          <w:tcPr>
            <w:tcW w:w="3119" w:type="dxa"/>
            <w:shd w:val="clear" w:color="auto" w:fill="auto"/>
          </w:tcPr>
          <w:p w:rsidR="006702D3" w:rsidRPr="00040A41" w:rsidRDefault="006702D3" w:rsidP="00040A41">
            <w:pPr>
              <w:jc w:val="both"/>
              <w:rPr>
                <w:szCs w:val="26"/>
                <w:shd w:val="clear" w:color="auto" w:fill="FFFFFF"/>
              </w:rPr>
            </w:pPr>
            <w:r w:rsidRPr="00040A41">
              <w:rPr>
                <w:szCs w:val="26"/>
                <w:shd w:val="clear" w:color="auto" w:fill="FFFFFF"/>
              </w:rPr>
              <w:t>Correct typographical amendment.</w:t>
            </w:r>
          </w:p>
        </w:tc>
      </w:tr>
      <w:tr w:rsidR="006702D3" w:rsidRPr="003E6052" w:rsidTr="00C42E01">
        <w:tc>
          <w:tcPr>
            <w:tcW w:w="13893" w:type="dxa"/>
            <w:gridSpan w:val="5"/>
            <w:shd w:val="clear" w:color="auto" w:fill="FBD4B4" w:themeFill="accent6" w:themeFillTint="66"/>
          </w:tcPr>
          <w:p w:rsidR="006702D3" w:rsidRPr="002351C1" w:rsidRDefault="006702D3" w:rsidP="00A329D8">
            <w:pPr>
              <w:pStyle w:val="NoSpacing"/>
              <w:jc w:val="both"/>
              <w:rPr>
                <w:b/>
              </w:rPr>
            </w:pPr>
            <w:r w:rsidRPr="002351C1">
              <w:rPr>
                <w:b/>
              </w:rPr>
              <w:t>Register of directors</w:t>
            </w:r>
            <w:r>
              <w:rPr>
                <w:b/>
              </w:rPr>
              <w:t>,</w:t>
            </w:r>
            <w:r w:rsidRPr="002351C1">
              <w:rPr>
                <w:b/>
              </w:rPr>
              <w:t xml:space="preserve"> </w:t>
            </w:r>
            <w:r>
              <w:rPr>
                <w:b/>
              </w:rPr>
              <w:t>m</w:t>
            </w:r>
            <w:r w:rsidRPr="002351C1">
              <w:rPr>
                <w:b/>
              </w:rPr>
              <w:t>anagers, secretaries and auditors</w:t>
            </w:r>
          </w:p>
        </w:tc>
      </w:tr>
      <w:tr w:rsidR="006702D3" w:rsidRPr="003E6052" w:rsidTr="00E461EB">
        <w:tc>
          <w:tcPr>
            <w:tcW w:w="1126" w:type="dxa"/>
          </w:tcPr>
          <w:p w:rsidR="006702D3" w:rsidRPr="00755BB9" w:rsidRDefault="006702D3" w:rsidP="00B124D0">
            <w:pPr>
              <w:jc w:val="center"/>
              <w:rPr>
                <w:szCs w:val="26"/>
              </w:rPr>
            </w:pPr>
            <w:r>
              <w:rPr>
                <w:szCs w:val="26"/>
              </w:rPr>
              <w:t>26</w:t>
            </w:r>
          </w:p>
        </w:tc>
        <w:tc>
          <w:tcPr>
            <w:tcW w:w="5253" w:type="dxa"/>
            <w:gridSpan w:val="2"/>
          </w:tcPr>
          <w:p w:rsidR="006702D3" w:rsidRDefault="006702D3" w:rsidP="00AD7E69">
            <w:pPr>
              <w:pStyle w:val="NoSpacing"/>
              <w:jc w:val="both"/>
            </w:pPr>
            <w:r>
              <w:t xml:space="preserve">Section 173(6)(d) requires a </w:t>
            </w:r>
            <w:r w:rsidRPr="00F0337C">
              <w:rPr>
                <w:u w:val="single"/>
              </w:rPr>
              <w:t>company</w:t>
            </w:r>
            <w:r>
              <w:t xml:space="preserve"> to file a prescribed form on the cessation of a manager, </w:t>
            </w:r>
            <w:r>
              <w:lastRenderedPageBreak/>
              <w:t>secretary or auditor.</w:t>
            </w:r>
          </w:p>
        </w:tc>
        <w:tc>
          <w:tcPr>
            <w:tcW w:w="4395" w:type="dxa"/>
            <w:shd w:val="clear" w:color="auto" w:fill="auto"/>
          </w:tcPr>
          <w:p w:rsidR="006702D3" w:rsidRDefault="006702D3">
            <w:pPr>
              <w:pStyle w:val="NoSpacing"/>
              <w:jc w:val="both"/>
            </w:pPr>
            <w:r>
              <w:lastRenderedPageBreak/>
              <w:t xml:space="preserve">Introduce section 173D(2A) to allow a </w:t>
            </w:r>
            <w:r w:rsidRPr="00F0337C">
              <w:rPr>
                <w:u w:val="single"/>
              </w:rPr>
              <w:t>company secretary</w:t>
            </w:r>
            <w:r>
              <w:t xml:space="preserve"> to file a notice of </w:t>
            </w:r>
            <w:r>
              <w:lastRenderedPageBreak/>
              <w:t>resignation, removal or retirement from office with the Registrar electronically if the said officer has reasonable cause to believe that the company will not lodge such a notice.</w:t>
            </w:r>
          </w:p>
          <w:p w:rsidR="006702D3" w:rsidRDefault="006702D3">
            <w:pPr>
              <w:pStyle w:val="NoSpacing"/>
              <w:jc w:val="both"/>
            </w:pPr>
          </w:p>
          <w:p w:rsidR="006702D3" w:rsidRDefault="006702D3">
            <w:pPr>
              <w:pStyle w:val="NoSpacing"/>
              <w:jc w:val="both"/>
            </w:pPr>
            <w:r>
              <w:t>(Note: The current section 173 has been repealed and substituted with new sections 173-173H in the first part of the draft Bill, which was published for public feedback in May 2013. Thus, the proposed amendments will be made to the new section 173D.)</w:t>
            </w:r>
          </w:p>
        </w:tc>
        <w:tc>
          <w:tcPr>
            <w:tcW w:w="3119" w:type="dxa"/>
            <w:shd w:val="clear" w:color="auto" w:fill="auto"/>
          </w:tcPr>
          <w:p w:rsidR="006702D3" w:rsidRDefault="006702D3" w:rsidP="00AD7E69">
            <w:pPr>
              <w:pStyle w:val="NoSpacing"/>
              <w:jc w:val="both"/>
            </w:pPr>
            <w:r>
              <w:lastRenderedPageBreak/>
              <w:t xml:space="preserve">For consistency with the requirements for directors, </w:t>
            </w:r>
            <w:r>
              <w:lastRenderedPageBreak/>
              <w:t>who can currently inform the Registrar of their disqualification or resignation under section 173(6A) under similar conditions.</w:t>
            </w:r>
          </w:p>
          <w:p w:rsidR="006702D3" w:rsidRDefault="006702D3" w:rsidP="00AD7E69">
            <w:pPr>
              <w:pStyle w:val="NoSpacing"/>
              <w:jc w:val="both"/>
            </w:pPr>
          </w:p>
          <w:p w:rsidR="008244B3" w:rsidRDefault="006702D3" w:rsidP="00954EAC">
            <w:pPr>
              <w:pStyle w:val="NoSpacing"/>
              <w:jc w:val="both"/>
              <w:rPr>
                <w:i/>
                <w:u w:val="single"/>
              </w:rPr>
            </w:pPr>
            <w:r w:rsidRPr="008B064B">
              <w:rPr>
                <w:i/>
                <w:u w:val="single"/>
              </w:rPr>
              <w:t>Consultation Question 3</w:t>
            </w:r>
          </w:p>
          <w:p w:rsidR="006702D3" w:rsidRDefault="006702D3" w:rsidP="00954EAC">
            <w:pPr>
              <w:pStyle w:val="NoSpacing"/>
              <w:jc w:val="both"/>
            </w:pPr>
            <w:r w:rsidRPr="00F5495E">
              <w:rPr>
                <w:i/>
              </w:rPr>
              <w:t xml:space="preserve">We would like to seek comments on whether it is necessary in practice to allow a company secretary to notify </w:t>
            </w:r>
            <w:r>
              <w:rPr>
                <w:i/>
              </w:rPr>
              <w:t>the Registrar</w:t>
            </w:r>
            <w:r w:rsidRPr="00F5495E">
              <w:rPr>
                <w:i/>
              </w:rPr>
              <w:t xml:space="preserve"> of his removal or retirement from office</w:t>
            </w:r>
            <w:r>
              <w:rPr>
                <w:i/>
              </w:rPr>
              <w:t>, other than his resignation, if he has reasonable cause to believe that the company will not do so</w:t>
            </w:r>
            <w:r w:rsidRPr="00F5495E">
              <w:rPr>
                <w:i/>
              </w:rPr>
              <w:t xml:space="preserve">. </w:t>
            </w:r>
            <w:r>
              <w:rPr>
                <w:i/>
              </w:rPr>
              <w:t>We propose to align the scope of self notification by directors with the proposed self notification provision for company secretaries.</w:t>
            </w:r>
          </w:p>
        </w:tc>
      </w:tr>
      <w:tr w:rsidR="006702D3" w:rsidRPr="003E6052" w:rsidTr="00E461EB">
        <w:tc>
          <w:tcPr>
            <w:tcW w:w="1126" w:type="dxa"/>
          </w:tcPr>
          <w:p w:rsidR="006702D3" w:rsidRPr="00755BB9" w:rsidRDefault="006702D3" w:rsidP="00B124D0">
            <w:pPr>
              <w:jc w:val="center"/>
              <w:rPr>
                <w:szCs w:val="26"/>
              </w:rPr>
            </w:pPr>
            <w:r>
              <w:rPr>
                <w:szCs w:val="26"/>
              </w:rPr>
              <w:lastRenderedPageBreak/>
              <w:t>27</w:t>
            </w:r>
          </w:p>
        </w:tc>
        <w:tc>
          <w:tcPr>
            <w:tcW w:w="5253" w:type="dxa"/>
            <w:gridSpan w:val="2"/>
          </w:tcPr>
          <w:p w:rsidR="006702D3" w:rsidRPr="00CB0FB4" w:rsidRDefault="006702D3" w:rsidP="005C1C7D">
            <w:pPr>
              <w:pStyle w:val="NoSpacing"/>
              <w:jc w:val="both"/>
              <w:rPr>
                <w:szCs w:val="26"/>
              </w:rPr>
            </w:pPr>
            <w:r w:rsidRPr="00CB0FB4">
              <w:rPr>
                <w:szCs w:val="26"/>
              </w:rPr>
              <w:t>Section 173(6B) allows the Registrar to remove the name and particulars of a director from the register if the Registrar has reasonable cause to believe that the director is not qualified to act due to bankruptcy or persistent default.</w:t>
            </w:r>
          </w:p>
        </w:tc>
        <w:tc>
          <w:tcPr>
            <w:tcW w:w="4395" w:type="dxa"/>
            <w:shd w:val="clear" w:color="auto" w:fill="auto"/>
          </w:tcPr>
          <w:p w:rsidR="006702D3" w:rsidRDefault="006702D3" w:rsidP="00B05EA6">
            <w:pPr>
              <w:pStyle w:val="NoSpacing"/>
              <w:jc w:val="both"/>
              <w:rPr>
                <w:szCs w:val="26"/>
              </w:rPr>
            </w:pPr>
            <w:r w:rsidRPr="00CB0FB4">
              <w:rPr>
                <w:szCs w:val="26"/>
              </w:rPr>
              <w:t xml:space="preserve">Introduce </w:t>
            </w:r>
            <w:r>
              <w:rPr>
                <w:szCs w:val="26"/>
              </w:rPr>
              <w:t>section 173E(5)</w:t>
            </w:r>
            <w:r w:rsidRPr="00CB0FB4">
              <w:rPr>
                <w:szCs w:val="26"/>
              </w:rPr>
              <w:t xml:space="preserve"> to allow the Registrar to restore the name and particulars of a director</w:t>
            </w:r>
            <w:r>
              <w:rPr>
                <w:szCs w:val="26"/>
              </w:rPr>
              <w:t>,</w:t>
            </w:r>
            <w:r w:rsidRPr="00CB0FB4">
              <w:rPr>
                <w:szCs w:val="26"/>
              </w:rPr>
              <w:t xml:space="preserve"> </w:t>
            </w:r>
            <w:r>
              <w:rPr>
                <w:szCs w:val="26"/>
              </w:rPr>
              <w:t>chief executive officer, secretary or auditor</w:t>
            </w:r>
            <w:r w:rsidRPr="00CB0FB4">
              <w:rPr>
                <w:szCs w:val="26"/>
              </w:rPr>
              <w:t xml:space="preserve"> if it was removed in error by the Registrar under</w:t>
            </w:r>
            <w:r>
              <w:rPr>
                <w:szCs w:val="26"/>
              </w:rPr>
              <w:t xml:space="preserve"> </w:t>
            </w:r>
            <w:r>
              <w:rPr>
                <w:szCs w:val="26"/>
              </w:rPr>
              <w:lastRenderedPageBreak/>
              <w:t>the new section 173E(1) – (4), which replaces</w:t>
            </w:r>
            <w:r w:rsidRPr="00CB0FB4">
              <w:rPr>
                <w:szCs w:val="26"/>
              </w:rPr>
              <w:t xml:space="preserve"> </w:t>
            </w:r>
            <w:r>
              <w:rPr>
                <w:szCs w:val="26"/>
              </w:rPr>
              <w:t xml:space="preserve">the current </w:t>
            </w:r>
            <w:r w:rsidRPr="00CB0FB4">
              <w:rPr>
                <w:szCs w:val="26"/>
              </w:rPr>
              <w:t>section 173(6B).</w:t>
            </w:r>
          </w:p>
          <w:p w:rsidR="006702D3" w:rsidRDefault="006702D3" w:rsidP="00B05EA6">
            <w:pPr>
              <w:pStyle w:val="NoSpacing"/>
              <w:jc w:val="both"/>
              <w:rPr>
                <w:szCs w:val="26"/>
              </w:rPr>
            </w:pPr>
          </w:p>
          <w:p w:rsidR="006702D3" w:rsidRDefault="006702D3" w:rsidP="00B05EA6">
            <w:pPr>
              <w:pStyle w:val="NoSpacing"/>
              <w:jc w:val="both"/>
              <w:rPr>
                <w:szCs w:val="26"/>
              </w:rPr>
            </w:pPr>
            <w:r>
              <w:t>(Note: The current section 173 has been repealed and substituted with new sections 173-173H in the first part of the draft Bill, which was published for public feedback in May 2013. Thus, the proposed amendments will be made to the new section 173E.)</w:t>
            </w:r>
          </w:p>
        </w:tc>
        <w:tc>
          <w:tcPr>
            <w:tcW w:w="3119" w:type="dxa"/>
            <w:shd w:val="clear" w:color="auto" w:fill="auto"/>
          </w:tcPr>
          <w:p w:rsidR="006702D3" w:rsidRDefault="006702D3" w:rsidP="00B05EA6">
            <w:pPr>
              <w:pStyle w:val="NoSpacing"/>
              <w:jc w:val="both"/>
              <w:rPr>
                <w:strike/>
              </w:rPr>
            </w:pPr>
            <w:r>
              <w:lastRenderedPageBreak/>
              <w:t>Ensure accuracy of the registers.</w:t>
            </w:r>
          </w:p>
        </w:tc>
      </w:tr>
      <w:tr w:rsidR="006702D3" w:rsidRPr="003E6052" w:rsidTr="00C42E01">
        <w:tc>
          <w:tcPr>
            <w:tcW w:w="13893" w:type="dxa"/>
            <w:gridSpan w:val="5"/>
            <w:shd w:val="clear" w:color="auto" w:fill="FBD4B4" w:themeFill="accent6" w:themeFillTint="66"/>
          </w:tcPr>
          <w:p w:rsidR="006702D3" w:rsidRPr="00BE11A4" w:rsidRDefault="006702D3" w:rsidP="007E60C5">
            <w:pPr>
              <w:pStyle w:val="NoSpacing"/>
              <w:jc w:val="both"/>
              <w:rPr>
                <w:b/>
                <w:szCs w:val="26"/>
              </w:rPr>
            </w:pPr>
            <w:r w:rsidRPr="00BE11A4">
              <w:rPr>
                <w:b/>
                <w:szCs w:val="26"/>
              </w:rPr>
              <w:lastRenderedPageBreak/>
              <w:t>Annual general meetings</w:t>
            </w:r>
            <w:r>
              <w:rPr>
                <w:b/>
                <w:szCs w:val="26"/>
              </w:rPr>
              <w:t xml:space="preserve"> (AGM)</w:t>
            </w:r>
            <w:r w:rsidRPr="00BE11A4">
              <w:rPr>
                <w:b/>
                <w:szCs w:val="26"/>
              </w:rPr>
              <w:t xml:space="preserve"> and accounts, consolidated accounts and directors’ report</w:t>
            </w:r>
          </w:p>
        </w:tc>
      </w:tr>
      <w:tr w:rsidR="006702D3" w:rsidRPr="003E6052" w:rsidTr="00E461EB">
        <w:tc>
          <w:tcPr>
            <w:tcW w:w="1126" w:type="dxa"/>
          </w:tcPr>
          <w:p w:rsidR="006702D3" w:rsidRPr="00755BB9" w:rsidRDefault="006702D3" w:rsidP="00B124D0">
            <w:pPr>
              <w:jc w:val="center"/>
              <w:rPr>
                <w:szCs w:val="26"/>
              </w:rPr>
            </w:pPr>
            <w:r>
              <w:rPr>
                <w:szCs w:val="26"/>
              </w:rPr>
              <w:t>28 &amp; 33</w:t>
            </w:r>
          </w:p>
        </w:tc>
        <w:tc>
          <w:tcPr>
            <w:tcW w:w="5253" w:type="dxa"/>
            <w:gridSpan w:val="2"/>
          </w:tcPr>
          <w:p w:rsidR="006702D3" w:rsidRPr="00BE11A4" w:rsidRDefault="006702D3" w:rsidP="005C1C7D">
            <w:pPr>
              <w:pStyle w:val="NoSpacing"/>
              <w:jc w:val="both"/>
              <w:rPr>
                <w:szCs w:val="26"/>
              </w:rPr>
            </w:pPr>
            <w:r w:rsidRPr="00BE11A4">
              <w:rPr>
                <w:szCs w:val="26"/>
              </w:rPr>
              <w:t>The registrar may, on the application of the company, extend the period for a company to:</w:t>
            </w:r>
          </w:p>
          <w:p w:rsidR="006702D3" w:rsidRPr="00BE11A4" w:rsidRDefault="006702D3" w:rsidP="00924C35">
            <w:pPr>
              <w:pStyle w:val="NoSpacing"/>
              <w:numPr>
                <w:ilvl w:val="0"/>
                <w:numId w:val="3"/>
              </w:numPr>
              <w:ind w:left="459" w:hanging="459"/>
              <w:jc w:val="both"/>
              <w:rPr>
                <w:szCs w:val="26"/>
              </w:rPr>
            </w:pPr>
            <w:r w:rsidRPr="00BE11A4">
              <w:rPr>
                <w:szCs w:val="26"/>
              </w:rPr>
              <w:t>hold its AGM under section 175(2); or</w:t>
            </w:r>
          </w:p>
          <w:p w:rsidR="006702D3" w:rsidRPr="00BE11A4" w:rsidRDefault="006702D3" w:rsidP="00924C35">
            <w:pPr>
              <w:pStyle w:val="NoSpacing"/>
              <w:numPr>
                <w:ilvl w:val="0"/>
                <w:numId w:val="3"/>
              </w:numPr>
              <w:ind w:left="459" w:hanging="459"/>
              <w:jc w:val="both"/>
              <w:rPr>
                <w:szCs w:val="26"/>
              </w:rPr>
            </w:pPr>
            <w:r w:rsidRPr="00BE11A4">
              <w:rPr>
                <w:szCs w:val="26"/>
              </w:rPr>
              <w:t>prepare accounts under section 201(2).</w:t>
            </w:r>
          </w:p>
        </w:tc>
        <w:tc>
          <w:tcPr>
            <w:tcW w:w="4395" w:type="dxa"/>
            <w:shd w:val="clear" w:color="auto" w:fill="auto"/>
          </w:tcPr>
          <w:p w:rsidR="006702D3" w:rsidRDefault="006702D3" w:rsidP="00747A6E">
            <w:pPr>
              <w:pStyle w:val="NoSpacing"/>
              <w:jc w:val="both"/>
              <w:rPr>
                <w:szCs w:val="26"/>
              </w:rPr>
            </w:pPr>
            <w:r w:rsidRPr="00BE11A4">
              <w:rPr>
                <w:szCs w:val="26"/>
              </w:rPr>
              <w:t xml:space="preserve">Amend sections 175(2) and 201(2) </w:t>
            </w:r>
            <w:r>
              <w:rPr>
                <w:szCs w:val="26"/>
              </w:rPr>
              <w:t xml:space="preserve">(which is renumbered as section 201(4) in the first part of the draft Bill, which was published for public feedback in May 2013) </w:t>
            </w:r>
            <w:r w:rsidRPr="00BE11A4">
              <w:rPr>
                <w:szCs w:val="26"/>
              </w:rPr>
              <w:t xml:space="preserve">to </w:t>
            </w:r>
            <w:r w:rsidRPr="00830C57">
              <w:rPr>
                <w:szCs w:val="26"/>
              </w:rPr>
              <w:t>allow the Registrar to grant an extension of time to a class of companies in the regulations, without the need for companies’ applications.</w:t>
            </w:r>
          </w:p>
        </w:tc>
        <w:tc>
          <w:tcPr>
            <w:tcW w:w="3119" w:type="dxa"/>
            <w:shd w:val="clear" w:color="auto" w:fill="auto"/>
          </w:tcPr>
          <w:p w:rsidR="006702D3" w:rsidRDefault="006702D3" w:rsidP="004E1754">
            <w:pPr>
              <w:pStyle w:val="NoSpacing"/>
              <w:jc w:val="both"/>
              <w:rPr>
                <w:szCs w:val="26"/>
              </w:rPr>
            </w:pPr>
            <w:r>
              <w:rPr>
                <w:szCs w:val="26"/>
              </w:rPr>
              <w:t>The class exemptions will allow certain classes of companies to be exempted without an application having to be made by the company, and will be in addition to existing provisions for extension of time granted upon application by a company.</w:t>
            </w:r>
          </w:p>
        </w:tc>
      </w:tr>
      <w:tr w:rsidR="006702D3" w:rsidRPr="003E6052" w:rsidTr="00C42E01">
        <w:tc>
          <w:tcPr>
            <w:tcW w:w="13893" w:type="dxa"/>
            <w:gridSpan w:val="5"/>
            <w:shd w:val="clear" w:color="auto" w:fill="FBD4B4" w:themeFill="accent6" w:themeFillTint="66"/>
          </w:tcPr>
          <w:p w:rsidR="006702D3" w:rsidRPr="00A47D31" w:rsidRDefault="006702D3" w:rsidP="005D7D8D">
            <w:pPr>
              <w:pStyle w:val="NoSpacing"/>
              <w:jc w:val="both"/>
              <w:rPr>
                <w:szCs w:val="26"/>
              </w:rPr>
            </w:pPr>
            <w:r w:rsidRPr="00A47D31">
              <w:rPr>
                <w:b/>
                <w:szCs w:val="26"/>
              </w:rPr>
              <w:t>Convening of extraordinary general meeting on requisition</w:t>
            </w:r>
          </w:p>
        </w:tc>
      </w:tr>
      <w:tr w:rsidR="006702D3" w:rsidRPr="003E6052" w:rsidTr="00E461EB">
        <w:tc>
          <w:tcPr>
            <w:tcW w:w="1126" w:type="dxa"/>
          </w:tcPr>
          <w:p w:rsidR="006702D3" w:rsidRPr="00755BB9" w:rsidRDefault="006702D3" w:rsidP="008B064B">
            <w:pPr>
              <w:jc w:val="center"/>
              <w:rPr>
                <w:szCs w:val="26"/>
              </w:rPr>
            </w:pPr>
            <w:r>
              <w:rPr>
                <w:szCs w:val="26"/>
              </w:rPr>
              <w:t>29</w:t>
            </w:r>
          </w:p>
        </w:tc>
        <w:tc>
          <w:tcPr>
            <w:tcW w:w="5253" w:type="dxa"/>
            <w:gridSpan w:val="2"/>
          </w:tcPr>
          <w:p w:rsidR="006702D3" w:rsidRPr="00A47D31" w:rsidRDefault="006702D3" w:rsidP="005C1C7D">
            <w:pPr>
              <w:pStyle w:val="NoSpacing"/>
              <w:jc w:val="both"/>
              <w:rPr>
                <w:bCs/>
                <w:szCs w:val="26"/>
              </w:rPr>
            </w:pPr>
            <w:r w:rsidRPr="00A47D31">
              <w:rPr>
                <w:bCs/>
                <w:szCs w:val="26"/>
              </w:rPr>
              <w:t>Section 176(1) requires directors to convene a general meeting if members holding not less than 10% of paid-up capital call for such a meeting. Section 176(1A) excludes treasury shares from the computation of the paid-up capital.</w:t>
            </w:r>
          </w:p>
        </w:tc>
        <w:tc>
          <w:tcPr>
            <w:tcW w:w="4395" w:type="dxa"/>
            <w:shd w:val="clear" w:color="auto" w:fill="auto"/>
          </w:tcPr>
          <w:p w:rsidR="006702D3" w:rsidRPr="005F0988" w:rsidRDefault="006702D3" w:rsidP="001A7339">
            <w:pPr>
              <w:pStyle w:val="NoSpacing"/>
              <w:jc w:val="both"/>
              <w:rPr>
                <w:szCs w:val="26"/>
                <w:lang w:val="en-US"/>
              </w:rPr>
            </w:pPr>
            <w:r>
              <w:rPr>
                <w:szCs w:val="26"/>
              </w:rPr>
              <w:t xml:space="preserve">Replace “paid-up capital” with “total number of paid-up shares” in section 176(1) and with “paid-up shares” in section 176(1A). </w:t>
            </w:r>
          </w:p>
        </w:tc>
        <w:tc>
          <w:tcPr>
            <w:tcW w:w="3119" w:type="dxa"/>
            <w:shd w:val="clear" w:color="auto" w:fill="auto"/>
          </w:tcPr>
          <w:p w:rsidR="006702D3" w:rsidRDefault="006702D3" w:rsidP="005D7D8D">
            <w:pPr>
              <w:pStyle w:val="NoSpacing"/>
              <w:jc w:val="both"/>
              <w:rPr>
                <w:szCs w:val="26"/>
                <w:lang w:val="en-US"/>
              </w:rPr>
            </w:pPr>
            <w:r>
              <w:rPr>
                <w:szCs w:val="26"/>
              </w:rPr>
              <w:t xml:space="preserve">Technical amendment. With the abolishment of the concept of par value, “paid-up shares” better </w:t>
            </w:r>
            <w:r>
              <w:rPr>
                <w:szCs w:val="26"/>
                <w:lang w:val="en-US"/>
              </w:rPr>
              <w:t>reflect the appropriate proportion of voting rights.</w:t>
            </w:r>
          </w:p>
          <w:p w:rsidR="0021303C" w:rsidRPr="005F0988" w:rsidRDefault="0021303C" w:rsidP="005D7D8D">
            <w:pPr>
              <w:pStyle w:val="NoSpacing"/>
              <w:jc w:val="both"/>
              <w:rPr>
                <w:szCs w:val="26"/>
                <w:lang w:val="en-US"/>
              </w:rPr>
            </w:pPr>
          </w:p>
        </w:tc>
      </w:tr>
      <w:tr w:rsidR="006702D3" w:rsidRPr="003E6052" w:rsidTr="00C42E01">
        <w:tc>
          <w:tcPr>
            <w:tcW w:w="13893" w:type="dxa"/>
            <w:gridSpan w:val="5"/>
            <w:shd w:val="clear" w:color="auto" w:fill="FBD4B4" w:themeFill="accent6" w:themeFillTint="66"/>
          </w:tcPr>
          <w:p w:rsidR="006702D3" w:rsidRPr="00E45051" w:rsidRDefault="006702D3" w:rsidP="005D7D8D">
            <w:pPr>
              <w:pStyle w:val="NoSpacing"/>
              <w:jc w:val="both"/>
              <w:rPr>
                <w:szCs w:val="26"/>
              </w:rPr>
            </w:pPr>
            <w:r w:rsidRPr="00E45051">
              <w:rPr>
                <w:b/>
                <w:szCs w:val="26"/>
              </w:rPr>
              <w:lastRenderedPageBreak/>
              <w:t>Filing of section 175A resolutions under section 186(1)</w:t>
            </w:r>
          </w:p>
        </w:tc>
      </w:tr>
      <w:tr w:rsidR="006702D3" w:rsidRPr="003E6052" w:rsidTr="00E461EB">
        <w:tc>
          <w:tcPr>
            <w:tcW w:w="1126" w:type="dxa"/>
          </w:tcPr>
          <w:p w:rsidR="006702D3" w:rsidRDefault="006702D3">
            <w:pPr>
              <w:jc w:val="center"/>
              <w:rPr>
                <w:szCs w:val="26"/>
              </w:rPr>
            </w:pPr>
            <w:r>
              <w:rPr>
                <w:szCs w:val="26"/>
              </w:rPr>
              <w:t>30</w:t>
            </w:r>
          </w:p>
        </w:tc>
        <w:tc>
          <w:tcPr>
            <w:tcW w:w="5253" w:type="dxa"/>
            <w:gridSpan w:val="2"/>
          </w:tcPr>
          <w:p w:rsidR="006702D3" w:rsidRPr="00E45051" w:rsidRDefault="006702D3" w:rsidP="00E45051">
            <w:pPr>
              <w:pStyle w:val="NoSpacing"/>
              <w:jc w:val="both"/>
              <w:rPr>
                <w:szCs w:val="26"/>
              </w:rPr>
            </w:pPr>
            <w:r w:rsidRPr="00E45051">
              <w:rPr>
                <w:szCs w:val="26"/>
              </w:rPr>
              <w:t>A private company may, by resolution, dispense with the holding of AGM under section 175A. The resolution must be approved all members and is a unanimous decision. Section 186(1) requires a company to lodge a copy of every special resolution with the Registrar within one month after the passing of the resolution.</w:t>
            </w:r>
          </w:p>
        </w:tc>
        <w:tc>
          <w:tcPr>
            <w:tcW w:w="4395" w:type="dxa"/>
            <w:shd w:val="clear" w:color="auto" w:fill="auto"/>
          </w:tcPr>
          <w:p w:rsidR="006702D3" w:rsidRPr="0021303C" w:rsidRDefault="006702D3" w:rsidP="0021303C">
            <w:pPr>
              <w:pStyle w:val="NoSpacing"/>
              <w:jc w:val="both"/>
              <w:rPr>
                <w:rFonts w:eastAsiaTheme="majorEastAsia"/>
              </w:rPr>
            </w:pPr>
            <w:r w:rsidRPr="0021303C">
              <w:t>Amend section 186(1) to expressly require section 175A resolutions be lodged with the Registrar.</w:t>
            </w:r>
          </w:p>
        </w:tc>
        <w:tc>
          <w:tcPr>
            <w:tcW w:w="3119" w:type="dxa"/>
            <w:shd w:val="clear" w:color="auto" w:fill="auto"/>
          </w:tcPr>
          <w:p w:rsidR="006702D3" w:rsidRPr="0021303C" w:rsidRDefault="006702D3" w:rsidP="0021303C">
            <w:pPr>
              <w:pStyle w:val="NoSpacing"/>
              <w:jc w:val="both"/>
            </w:pPr>
            <w:r w:rsidRPr="0021303C">
              <w:t>For clarity.</w:t>
            </w:r>
          </w:p>
        </w:tc>
      </w:tr>
      <w:tr w:rsidR="006702D3" w:rsidRPr="003E6052" w:rsidTr="00C42E01">
        <w:tc>
          <w:tcPr>
            <w:tcW w:w="13893" w:type="dxa"/>
            <w:gridSpan w:val="5"/>
            <w:shd w:val="clear" w:color="auto" w:fill="FBD4B4" w:themeFill="accent6" w:themeFillTint="66"/>
          </w:tcPr>
          <w:p w:rsidR="006702D3" w:rsidRDefault="006702D3">
            <w:pPr>
              <w:pStyle w:val="NoSpacing"/>
              <w:tabs>
                <w:tab w:val="center" w:pos="2868"/>
              </w:tabs>
              <w:jc w:val="both"/>
              <w:rPr>
                <w:b/>
                <w:szCs w:val="26"/>
              </w:rPr>
            </w:pPr>
            <w:r>
              <w:rPr>
                <w:b/>
                <w:szCs w:val="26"/>
              </w:rPr>
              <w:t>Timeline for f</w:t>
            </w:r>
            <w:r w:rsidRPr="00D51310">
              <w:rPr>
                <w:b/>
                <w:szCs w:val="26"/>
              </w:rPr>
              <w:t>iling of annual return</w:t>
            </w:r>
            <w:r>
              <w:rPr>
                <w:b/>
                <w:szCs w:val="26"/>
              </w:rPr>
              <w:t xml:space="preserve"> for companies which have dispensed with AGM</w:t>
            </w:r>
          </w:p>
        </w:tc>
      </w:tr>
      <w:tr w:rsidR="006702D3" w:rsidRPr="003E6052" w:rsidTr="00E461EB">
        <w:tc>
          <w:tcPr>
            <w:tcW w:w="1126" w:type="dxa"/>
          </w:tcPr>
          <w:p w:rsidR="006702D3" w:rsidRDefault="006702D3">
            <w:pPr>
              <w:jc w:val="center"/>
              <w:rPr>
                <w:szCs w:val="26"/>
              </w:rPr>
            </w:pPr>
            <w:r>
              <w:rPr>
                <w:szCs w:val="26"/>
              </w:rPr>
              <w:t>31</w:t>
            </w:r>
          </w:p>
        </w:tc>
        <w:tc>
          <w:tcPr>
            <w:tcW w:w="5253" w:type="dxa"/>
            <w:gridSpan w:val="2"/>
          </w:tcPr>
          <w:p w:rsidR="006702D3" w:rsidRPr="00D51310" w:rsidRDefault="006702D3" w:rsidP="005C1C7D">
            <w:pPr>
              <w:pStyle w:val="NoSpacing"/>
              <w:jc w:val="both"/>
              <w:rPr>
                <w:szCs w:val="26"/>
              </w:rPr>
            </w:pPr>
            <w:r w:rsidRPr="00D51310">
              <w:rPr>
                <w:szCs w:val="26"/>
              </w:rPr>
              <w:t>Section 197(</w:t>
            </w:r>
            <w:r>
              <w:rPr>
                <w:szCs w:val="26"/>
              </w:rPr>
              <w:t>4</w:t>
            </w:r>
            <w:r w:rsidRPr="00D51310">
              <w:rPr>
                <w:szCs w:val="26"/>
              </w:rPr>
              <w:t xml:space="preserve">) requires a company to file its annual return with the Registrar within one month </w:t>
            </w:r>
            <w:r>
              <w:rPr>
                <w:szCs w:val="26"/>
              </w:rPr>
              <w:t xml:space="preserve">(or in the case of a </w:t>
            </w:r>
            <w:r w:rsidRPr="00F551C2">
              <w:rPr>
                <w:szCs w:val="26"/>
              </w:rPr>
              <w:t>company</w:t>
            </w:r>
            <w:r>
              <w:rPr>
                <w:szCs w:val="26"/>
              </w:rPr>
              <w:t xml:space="preserve"> which keeps</w:t>
            </w:r>
            <w:r w:rsidRPr="00F551C2">
              <w:rPr>
                <w:szCs w:val="26"/>
              </w:rPr>
              <w:t xml:space="preserve"> a branch register outside Singapore</w:t>
            </w:r>
            <w:r>
              <w:rPr>
                <w:szCs w:val="26"/>
              </w:rPr>
              <w:t>,</w:t>
            </w:r>
            <w:r w:rsidRPr="00F551C2">
              <w:rPr>
                <w:szCs w:val="26"/>
              </w:rPr>
              <w:t xml:space="preserve"> within 2 months</w:t>
            </w:r>
            <w:r>
              <w:rPr>
                <w:szCs w:val="26"/>
              </w:rPr>
              <w:t>)</w:t>
            </w:r>
            <w:r w:rsidRPr="00F551C2">
              <w:rPr>
                <w:szCs w:val="26"/>
              </w:rPr>
              <w:t xml:space="preserve"> </w:t>
            </w:r>
            <w:r w:rsidRPr="00D51310">
              <w:rPr>
                <w:szCs w:val="26"/>
              </w:rPr>
              <w:t>of its AGM.</w:t>
            </w:r>
          </w:p>
          <w:p w:rsidR="006702D3" w:rsidRPr="00D51310" w:rsidRDefault="006702D3" w:rsidP="005C1C7D">
            <w:pPr>
              <w:pStyle w:val="NoSpacing"/>
              <w:jc w:val="both"/>
              <w:rPr>
                <w:szCs w:val="26"/>
              </w:rPr>
            </w:pPr>
          </w:p>
          <w:p w:rsidR="006702D3" w:rsidRDefault="006702D3">
            <w:pPr>
              <w:pStyle w:val="NoSpacing"/>
              <w:jc w:val="both"/>
              <w:rPr>
                <w:rFonts w:eastAsia="SimSun"/>
                <w:bCs/>
                <w:szCs w:val="26"/>
                <w:lang w:eastAsia="zh-CN"/>
              </w:rPr>
            </w:pPr>
            <w:r w:rsidRPr="00D51310">
              <w:rPr>
                <w:szCs w:val="26"/>
              </w:rPr>
              <w:t>For companies that have dispensed with the holding of AGM under section 175A (“S175A companies”), the deadline to lodge the annual return is determined by section 175A(10)</w:t>
            </w:r>
            <w:r>
              <w:rPr>
                <w:szCs w:val="26"/>
              </w:rPr>
              <w:t xml:space="preserve"> read with section 197(4)</w:t>
            </w:r>
            <w:r w:rsidRPr="00D51310">
              <w:rPr>
                <w:szCs w:val="26"/>
              </w:rPr>
              <w:t>.</w:t>
            </w:r>
          </w:p>
        </w:tc>
        <w:tc>
          <w:tcPr>
            <w:tcW w:w="4395" w:type="dxa"/>
            <w:shd w:val="clear" w:color="auto" w:fill="auto"/>
          </w:tcPr>
          <w:p w:rsidR="006702D3" w:rsidRPr="00D51310" w:rsidRDefault="006702D3" w:rsidP="005C1C7D">
            <w:pPr>
              <w:jc w:val="both"/>
              <w:rPr>
                <w:szCs w:val="26"/>
              </w:rPr>
            </w:pPr>
            <w:r>
              <w:rPr>
                <w:szCs w:val="26"/>
              </w:rPr>
              <w:t>Re</w:t>
            </w:r>
            <w:r w:rsidR="00343F6D">
              <w:rPr>
                <w:szCs w:val="26"/>
              </w:rPr>
              <w:t xml:space="preserve">peal and re-enact </w:t>
            </w:r>
            <w:r>
              <w:rPr>
                <w:szCs w:val="26"/>
              </w:rPr>
              <w:t xml:space="preserve">section 197(4) to clarify </w:t>
            </w:r>
            <w:r w:rsidRPr="00D51310">
              <w:rPr>
                <w:szCs w:val="26"/>
              </w:rPr>
              <w:t>that filing of the annual return under section 197 for S175A companies should be within one month</w:t>
            </w:r>
            <w:r>
              <w:rPr>
                <w:szCs w:val="26"/>
              </w:rPr>
              <w:t xml:space="preserve"> (or in the case of a </w:t>
            </w:r>
            <w:r w:rsidRPr="00F551C2">
              <w:rPr>
                <w:szCs w:val="26"/>
              </w:rPr>
              <w:t>company</w:t>
            </w:r>
            <w:r>
              <w:rPr>
                <w:szCs w:val="26"/>
              </w:rPr>
              <w:t xml:space="preserve"> having a share capital which keeps</w:t>
            </w:r>
            <w:r w:rsidRPr="00F551C2">
              <w:rPr>
                <w:szCs w:val="26"/>
              </w:rPr>
              <w:t xml:space="preserve"> a branch register outside Singapore</w:t>
            </w:r>
            <w:r>
              <w:rPr>
                <w:szCs w:val="26"/>
              </w:rPr>
              <w:t>,</w:t>
            </w:r>
            <w:r w:rsidRPr="00F551C2">
              <w:rPr>
                <w:szCs w:val="26"/>
              </w:rPr>
              <w:t xml:space="preserve"> within </w:t>
            </w:r>
            <w:r>
              <w:rPr>
                <w:szCs w:val="26"/>
              </w:rPr>
              <w:t>two</w:t>
            </w:r>
            <w:r w:rsidRPr="00F551C2">
              <w:rPr>
                <w:szCs w:val="26"/>
              </w:rPr>
              <w:t xml:space="preserve"> months</w:t>
            </w:r>
            <w:r>
              <w:rPr>
                <w:szCs w:val="26"/>
              </w:rPr>
              <w:t>)</w:t>
            </w:r>
            <w:r w:rsidRPr="00D51310">
              <w:rPr>
                <w:szCs w:val="26"/>
              </w:rPr>
              <w:t xml:space="preserve"> after</w:t>
            </w:r>
            <w:r>
              <w:rPr>
                <w:szCs w:val="26"/>
              </w:rPr>
              <w:t xml:space="preserve"> the later of the following dates</w:t>
            </w:r>
            <w:r w:rsidRPr="00D51310">
              <w:rPr>
                <w:szCs w:val="26"/>
              </w:rPr>
              <w:t>:</w:t>
            </w:r>
          </w:p>
          <w:p w:rsidR="00343F6D" w:rsidRDefault="006702D3" w:rsidP="00343F6D">
            <w:pPr>
              <w:numPr>
                <w:ilvl w:val="0"/>
                <w:numId w:val="33"/>
              </w:numPr>
              <w:jc w:val="both"/>
              <w:rPr>
                <w:szCs w:val="26"/>
              </w:rPr>
            </w:pPr>
            <w:r w:rsidRPr="00D51310">
              <w:rPr>
                <w:szCs w:val="26"/>
              </w:rPr>
              <w:t>the date on which the accounts and documents were sent; or</w:t>
            </w:r>
          </w:p>
          <w:p w:rsidR="00120ED9" w:rsidRPr="00F9271D" w:rsidRDefault="005C3C08" w:rsidP="00120ED9">
            <w:pPr>
              <w:numPr>
                <w:ilvl w:val="0"/>
                <w:numId w:val="33"/>
              </w:numPr>
              <w:jc w:val="both"/>
              <w:rPr>
                <w:szCs w:val="26"/>
              </w:rPr>
            </w:pPr>
            <w:r w:rsidRPr="00634862">
              <w:rPr>
                <w:szCs w:val="26"/>
              </w:rPr>
              <w:t>the</w:t>
            </w:r>
            <w:r w:rsidR="006B7FDC" w:rsidRPr="00634862">
              <w:rPr>
                <w:szCs w:val="26"/>
              </w:rPr>
              <w:t xml:space="preserve"> </w:t>
            </w:r>
            <w:r w:rsidR="006702D3" w:rsidRPr="00634862">
              <w:rPr>
                <w:szCs w:val="26"/>
              </w:rPr>
              <w:t>date</w:t>
            </w:r>
            <w:r w:rsidR="006702D3" w:rsidRPr="00343F6D">
              <w:rPr>
                <w:szCs w:val="26"/>
              </w:rPr>
              <w:t xml:space="preserve"> on which all resolutions by written means (which would be have been passed at the AGM if it had been held) were formally agreed on.</w:t>
            </w:r>
          </w:p>
        </w:tc>
        <w:tc>
          <w:tcPr>
            <w:tcW w:w="3119" w:type="dxa"/>
            <w:shd w:val="clear" w:color="auto" w:fill="auto"/>
          </w:tcPr>
          <w:p w:rsidR="006702D3" w:rsidRDefault="006702D3" w:rsidP="00D24E44">
            <w:pPr>
              <w:jc w:val="both"/>
              <w:rPr>
                <w:szCs w:val="26"/>
              </w:rPr>
            </w:pPr>
            <w:r w:rsidRPr="00D3094F">
              <w:rPr>
                <w:szCs w:val="26"/>
              </w:rPr>
              <w:t xml:space="preserve">Provide </w:t>
            </w:r>
            <w:r>
              <w:rPr>
                <w:szCs w:val="26"/>
              </w:rPr>
              <w:t>a clearer position</w:t>
            </w:r>
            <w:r w:rsidRPr="00D3094F">
              <w:rPr>
                <w:szCs w:val="26"/>
              </w:rPr>
              <w:t xml:space="preserve"> on the timing for filing the annual return for companies</w:t>
            </w:r>
            <w:r>
              <w:rPr>
                <w:szCs w:val="26"/>
              </w:rPr>
              <w:t xml:space="preserve"> which have dispensed with holding an AGM under section 175A</w:t>
            </w:r>
            <w:r w:rsidRPr="00D3094F">
              <w:rPr>
                <w:szCs w:val="26"/>
              </w:rPr>
              <w:t>.</w:t>
            </w:r>
          </w:p>
        </w:tc>
      </w:tr>
      <w:tr w:rsidR="006702D3" w:rsidRPr="003E6052" w:rsidTr="00C42E01">
        <w:tc>
          <w:tcPr>
            <w:tcW w:w="13893" w:type="dxa"/>
            <w:gridSpan w:val="5"/>
            <w:shd w:val="clear" w:color="auto" w:fill="FBD4B4" w:themeFill="accent6" w:themeFillTint="66"/>
          </w:tcPr>
          <w:p w:rsidR="006702D3" w:rsidRDefault="006702D3" w:rsidP="00AD7E69">
            <w:pPr>
              <w:pStyle w:val="NoSpacing"/>
              <w:jc w:val="both"/>
            </w:pPr>
            <w:r w:rsidRPr="00ED787F">
              <w:rPr>
                <w:b/>
                <w:szCs w:val="26"/>
              </w:rPr>
              <w:t>Delete reference to “directors and managers” under section 199(1)</w:t>
            </w:r>
          </w:p>
        </w:tc>
      </w:tr>
      <w:tr w:rsidR="006702D3" w:rsidRPr="003E6052" w:rsidTr="00E461EB">
        <w:tc>
          <w:tcPr>
            <w:tcW w:w="1126" w:type="dxa"/>
          </w:tcPr>
          <w:p w:rsidR="006702D3" w:rsidRDefault="006702D3">
            <w:pPr>
              <w:jc w:val="center"/>
              <w:rPr>
                <w:strike/>
                <w:szCs w:val="26"/>
              </w:rPr>
            </w:pPr>
            <w:r>
              <w:rPr>
                <w:szCs w:val="26"/>
              </w:rPr>
              <w:t>32</w:t>
            </w:r>
          </w:p>
        </w:tc>
        <w:tc>
          <w:tcPr>
            <w:tcW w:w="5253" w:type="dxa"/>
            <w:gridSpan w:val="2"/>
          </w:tcPr>
          <w:p w:rsidR="006702D3" w:rsidRDefault="006702D3" w:rsidP="00AD7E69">
            <w:pPr>
              <w:jc w:val="both"/>
              <w:rPr>
                <w:szCs w:val="26"/>
              </w:rPr>
            </w:pPr>
            <w:r>
              <w:rPr>
                <w:szCs w:val="26"/>
              </w:rPr>
              <w:t xml:space="preserve">Section 199(1) requires every company and the </w:t>
            </w:r>
            <w:r w:rsidRPr="00B17B76">
              <w:rPr>
                <w:szCs w:val="26"/>
                <w:u w:val="single"/>
              </w:rPr>
              <w:t>directors and managers</w:t>
            </w:r>
            <w:r>
              <w:rPr>
                <w:szCs w:val="26"/>
              </w:rPr>
              <w:t xml:space="preserve"> to maintain proper accounting records. Section 199(6) imposes </w:t>
            </w:r>
            <w:r>
              <w:rPr>
                <w:szCs w:val="26"/>
              </w:rPr>
              <w:lastRenderedPageBreak/>
              <w:t>penalty on the company and every officer in default for non-compliance.</w:t>
            </w:r>
          </w:p>
          <w:p w:rsidR="006702D3" w:rsidRDefault="006702D3" w:rsidP="00AD7E69">
            <w:pPr>
              <w:jc w:val="both"/>
              <w:rPr>
                <w:szCs w:val="26"/>
              </w:rPr>
            </w:pPr>
          </w:p>
          <w:p w:rsidR="006702D3" w:rsidRPr="00E152B1" w:rsidRDefault="006702D3" w:rsidP="0091191A">
            <w:pPr>
              <w:jc w:val="both"/>
              <w:rPr>
                <w:szCs w:val="26"/>
              </w:rPr>
            </w:pPr>
            <w:r w:rsidRPr="005C1C7D">
              <w:rPr>
                <w:szCs w:val="26"/>
              </w:rPr>
              <w:t>The penalty is a fine not exceeding $2,000 or imprisonment for a term not exceeding 3 months and a default penalty</w:t>
            </w:r>
            <w:r w:rsidRPr="005C1C7D">
              <w:rPr>
                <w:rStyle w:val="FootnoteReference"/>
                <w:szCs w:val="26"/>
              </w:rPr>
              <w:footnoteReference w:id="3"/>
            </w:r>
            <w:r w:rsidRPr="005C1C7D">
              <w:rPr>
                <w:szCs w:val="26"/>
              </w:rPr>
              <w:t>.</w:t>
            </w:r>
          </w:p>
        </w:tc>
        <w:tc>
          <w:tcPr>
            <w:tcW w:w="4395" w:type="dxa"/>
            <w:shd w:val="clear" w:color="auto" w:fill="auto"/>
          </w:tcPr>
          <w:p w:rsidR="006702D3" w:rsidRDefault="006702D3" w:rsidP="00AD7E69">
            <w:pPr>
              <w:pStyle w:val="NoSpacing"/>
              <w:jc w:val="both"/>
            </w:pPr>
            <w:r>
              <w:lastRenderedPageBreak/>
              <w:t>Delete reference to “directors and managers” under section 199(1).</w:t>
            </w:r>
          </w:p>
          <w:p w:rsidR="006702D3" w:rsidRDefault="006702D3" w:rsidP="00AD7E69">
            <w:pPr>
              <w:pStyle w:val="NoSpacing"/>
              <w:jc w:val="both"/>
            </w:pPr>
          </w:p>
          <w:p w:rsidR="006702D3" w:rsidRDefault="006702D3" w:rsidP="00AD7E69">
            <w:pPr>
              <w:pStyle w:val="NoSpacing"/>
              <w:jc w:val="both"/>
            </w:pPr>
            <w:r>
              <w:lastRenderedPageBreak/>
              <w:t>(Note: This amendment supersedes the amendment in clause 134(a) of the first part of the draft Bill, which proposed deleting the word “managers” and substituting the words “chief executive officer in section 199(1).)</w:t>
            </w:r>
          </w:p>
          <w:p w:rsidR="006702D3" w:rsidRDefault="006702D3" w:rsidP="00AD7E69">
            <w:pPr>
              <w:pStyle w:val="NoSpacing"/>
              <w:jc w:val="both"/>
            </w:pPr>
          </w:p>
          <w:p w:rsidR="006702D3" w:rsidRDefault="006702D3" w:rsidP="002D5D8E">
            <w:pPr>
              <w:pStyle w:val="NoSpacing"/>
              <w:jc w:val="both"/>
            </w:pPr>
            <w:r>
              <w:t xml:space="preserve">Increase the quantum of the penalty under section 199(6) </w:t>
            </w:r>
            <w:r>
              <w:rPr>
                <w:szCs w:val="26"/>
              </w:rPr>
              <w:t xml:space="preserve">to a </w:t>
            </w:r>
            <w:r w:rsidRPr="00461F71">
              <w:rPr>
                <w:szCs w:val="26"/>
              </w:rPr>
              <w:t>fine not exceeding $5,000 or imprisonment for a term not exceeding 12 months</w:t>
            </w:r>
            <w:r>
              <w:rPr>
                <w:szCs w:val="26"/>
              </w:rPr>
              <w:t>.</w:t>
            </w:r>
          </w:p>
        </w:tc>
        <w:tc>
          <w:tcPr>
            <w:tcW w:w="3119" w:type="dxa"/>
            <w:shd w:val="clear" w:color="auto" w:fill="auto"/>
          </w:tcPr>
          <w:p w:rsidR="006702D3" w:rsidRDefault="006702D3" w:rsidP="007B176F">
            <w:pPr>
              <w:pStyle w:val="NoSpacing"/>
              <w:jc w:val="both"/>
            </w:pPr>
            <w:r>
              <w:lastRenderedPageBreak/>
              <w:t xml:space="preserve">For consistency with the wordings in section 199(2A). The penalty </w:t>
            </w:r>
            <w:r>
              <w:lastRenderedPageBreak/>
              <w:t>provision under section 199(6) will adequately cover persons who should be responsible for maintaining proper accounting records.</w:t>
            </w:r>
          </w:p>
          <w:p w:rsidR="006702D3" w:rsidRDefault="006702D3" w:rsidP="007B176F">
            <w:pPr>
              <w:pStyle w:val="NoSpacing"/>
              <w:jc w:val="both"/>
            </w:pPr>
          </w:p>
          <w:p w:rsidR="006702D3" w:rsidRPr="00A1153E" w:rsidRDefault="006702D3" w:rsidP="0003053F">
            <w:pPr>
              <w:pStyle w:val="NoSpacing"/>
              <w:jc w:val="both"/>
            </w:pPr>
            <w:r>
              <w:rPr>
                <w:szCs w:val="26"/>
              </w:rPr>
              <w:t xml:space="preserve">Align the quantum of the penalty, which was </w:t>
            </w:r>
            <w:r w:rsidRPr="005C1C7D">
              <w:rPr>
                <w:szCs w:val="26"/>
              </w:rPr>
              <w:t>last revised in 1984</w:t>
            </w:r>
            <w:r>
              <w:rPr>
                <w:szCs w:val="26"/>
              </w:rPr>
              <w:t xml:space="preserve">, </w:t>
            </w:r>
            <w:r w:rsidRPr="005C1C7D">
              <w:rPr>
                <w:szCs w:val="26"/>
              </w:rPr>
              <w:t>with the new penalties under section 201A</w:t>
            </w:r>
            <w:r>
              <w:rPr>
                <w:szCs w:val="26"/>
              </w:rPr>
              <w:t>A,</w:t>
            </w:r>
            <w:r w:rsidRPr="005C1C7D">
              <w:rPr>
                <w:szCs w:val="26"/>
              </w:rPr>
              <w:t xml:space="preserve"> since the nature of the offence is</w:t>
            </w:r>
            <w:r>
              <w:rPr>
                <w:szCs w:val="26"/>
              </w:rPr>
              <w:t xml:space="preserve"> </w:t>
            </w:r>
            <w:r w:rsidRPr="005C1C7D">
              <w:rPr>
                <w:szCs w:val="26"/>
              </w:rPr>
              <w:t>similar</w:t>
            </w:r>
            <w:r>
              <w:rPr>
                <w:szCs w:val="26"/>
              </w:rPr>
              <w:t>.</w:t>
            </w:r>
          </w:p>
        </w:tc>
      </w:tr>
      <w:tr w:rsidR="006702D3" w:rsidRPr="003E6052" w:rsidTr="00C42E01">
        <w:tc>
          <w:tcPr>
            <w:tcW w:w="13893" w:type="dxa"/>
            <w:gridSpan w:val="5"/>
            <w:shd w:val="clear" w:color="auto" w:fill="FBD4B4" w:themeFill="accent6" w:themeFillTint="66"/>
          </w:tcPr>
          <w:p w:rsidR="006702D3" w:rsidRDefault="006702D3">
            <w:pPr>
              <w:jc w:val="both"/>
              <w:rPr>
                <w:bCs/>
                <w:szCs w:val="26"/>
              </w:rPr>
            </w:pPr>
            <w:r w:rsidRPr="005C1C7D">
              <w:rPr>
                <w:b/>
                <w:szCs w:val="26"/>
              </w:rPr>
              <w:lastRenderedPageBreak/>
              <w:t xml:space="preserve">Retention of copy of records, documents etc. laid before </w:t>
            </w:r>
            <w:r>
              <w:rPr>
                <w:b/>
                <w:szCs w:val="26"/>
              </w:rPr>
              <w:t>AGM</w:t>
            </w:r>
          </w:p>
        </w:tc>
      </w:tr>
      <w:tr w:rsidR="006702D3" w:rsidRPr="003E6052" w:rsidTr="00E461EB">
        <w:tc>
          <w:tcPr>
            <w:tcW w:w="1126" w:type="dxa"/>
            <w:vMerge w:val="restart"/>
          </w:tcPr>
          <w:p w:rsidR="006702D3" w:rsidRDefault="006702D3">
            <w:pPr>
              <w:jc w:val="center"/>
              <w:rPr>
                <w:szCs w:val="26"/>
              </w:rPr>
            </w:pPr>
            <w:r>
              <w:rPr>
                <w:szCs w:val="26"/>
              </w:rPr>
              <w:t>34</w:t>
            </w:r>
          </w:p>
        </w:tc>
        <w:tc>
          <w:tcPr>
            <w:tcW w:w="5253" w:type="dxa"/>
            <w:gridSpan w:val="2"/>
            <w:vMerge w:val="restart"/>
          </w:tcPr>
          <w:p w:rsidR="006702D3" w:rsidRDefault="006702D3" w:rsidP="00D252CF">
            <w:pPr>
              <w:pStyle w:val="Am1SectionText1"/>
              <w:spacing w:before="0"/>
              <w:ind w:left="34" w:firstLine="0"/>
              <w:rPr>
                <w:szCs w:val="26"/>
              </w:rPr>
            </w:pPr>
            <w:r>
              <w:rPr>
                <w:szCs w:val="26"/>
              </w:rPr>
              <w:t xml:space="preserve">Currently, every company, its directors and managers are required to retain accounting and other records for a minimum of five years. However, there is no requirement for companies to retain financial statements or other documents laid </w:t>
            </w:r>
            <w:r w:rsidRPr="00461F71">
              <w:rPr>
                <w:szCs w:val="26"/>
              </w:rPr>
              <w:t>before the company at its AGM</w:t>
            </w:r>
            <w:r>
              <w:rPr>
                <w:szCs w:val="26"/>
              </w:rPr>
              <w:t xml:space="preserve"> or sent to members</w:t>
            </w:r>
            <w:r w:rsidRPr="00461F71">
              <w:rPr>
                <w:szCs w:val="26"/>
              </w:rPr>
              <w:t>.</w:t>
            </w:r>
          </w:p>
        </w:tc>
        <w:tc>
          <w:tcPr>
            <w:tcW w:w="4395" w:type="dxa"/>
            <w:shd w:val="clear" w:color="auto" w:fill="auto"/>
          </w:tcPr>
          <w:p w:rsidR="006702D3" w:rsidRDefault="006702D3" w:rsidP="00FB436B">
            <w:pPr>
              <w:pStyle w:val="NoSpacing"/>
              <w:jc w:val="both"/>
              <w:rPr>
                <w:szCs w:val="26"/>
              </w:rPr>
            </w:pPr>
            <w:r w:rsidRPr="00461F71">
              <w:rPr>
                <w:szCs w:val="26"/>
              </w:rPr>
              <w:t>Introduce section 201A</w:t>
            </w:r>
            <w:r>
              <w:rPr>
                <w:szCs w:val="26"/>
              </w:rPr>
              <w:t>A</w:t>
            </w:r>
            <w:r w:rsidRPr="00461F71">
              <w:rPr>
                <w:szCs w:val="26"/>
              </w:rPr>
              <w:t xml:space="preserve"> to extend the record keeping requirement to financial statements</w:t>
            </w:r>
            <w:r>
              <w:rPr>
                <w:szCs w:val="26"/>
              </w:rPr>
              <w:t xml:space="preserve"> and other documents </w:t>
            </w:r>
            <w:r w:rsidRPr="00461F71">
              <w:rPr>
                <w:szCs w:val="26"/>
              </w:rPr>
              <w:t>laid before the company at its AGM</w:t>
            </w:r>
            <w:r>
              <w:rPr>
                <w:szCs w:val="26"/>
              </w:rPr>
              <w:t xml:space="preserve"> or sent to members</w:t>
            </w:r>
            <w:r w:rsidRPr="00461F71">
              <w:rPr>
                <w:szCs w:val="26"/>
              </w:rPr>
              <w:t>. Impose a penalty of a fine not exceeding $5,000 or imprisonment for a term not exceeding 12 months for default.</w:t>
            </w:r>
          </w:p>
        </w:tc>
        <w:tc>
          <w:tcPr>
            <w:tcW w:w="3119" w:type="dxa"/>
            <w:shd w:val="clear" w:color="auto" w:fill="auto"/>
          </w:tcPr>
          <w:p w:rsidR="006702D3" w:rsidRDefault="006702D3">
            <w:pPr>
              <w:pStyle w:val="NoSpacing"/>
              <w:jc w:val="both"/>
              <w:rPr>
                <w:szCs w:val="26"/>
              </w:rPr>
            </w:pPr>
            <w:r>
              <w:rPr>
                <w:szCs w:val="26"/>
              </w:rPr>
              <w:t xml:space="preserve">To </w:t>
            </w:r>
            <w:r w:rsidRPr="005C1C7D">
              <w:rPr>
                <w:szCs w:val="26"/>
              </w:rPr>
              <w:t>facilitate ACRA’s verification</w:t>
            </w:r>
            <w:r>
              <w:rPr>
                <w:szCs w:val="26"/>
              </w:rPr>
              <w:t>, where necessary,</w:t>
            </w:r>
            <w:r w:rsidRPr="005C1C7D">
              <w:rPr>
                <w:szCs w:val="26"/>
              </w:rPr>
              <w:t xml:space="preserve"> of the accuracy of financial information that is filed with ACRA.</w:t>
            </w:r>
          </w:p>
        </w:tc>
      </w:tr>
      <w:tr w:rsidR="006702D3" w:rsidRPr="003E6052" w:rsidTr="00E461EB">
        <w:tc>
          <w:tcPr>
            <w:tcW w:w="1126" w:type="dxa"/>
            <w:vMerge/>
          </w:tcPr>
          <w:p w:rsidR="006702D3" w:rsidRPr="00755BB9" w:rsidRDefault="006702D3" w:rsidP="00755BB9">
            <w:pPr>
              <w:rPr>
                <w:szCs w:val="26"/>
              </w:rPr>
            </w:pPr>
          </w:p>
        </w:tc>
        <w:tc>
          <w:tcPr>
            <w:tcW w:w="5253" w:type="dxa"/>
            <w:gridSpan w:val="2"/>
            <w:vMerge/>
          </w:tcPr>
          <w:p w:rsidR="006702D3" w:rsidRPr="005C1C7D" w:rsidRDefault="006702D3" w:rsidP="00043AC4">
            <w:pPr>
              <w:pStyle w:val="Am1SectionText1"/>
              <w:spacing w:before="0"/>
              <w:ind w:left="34" w:firstLine="0"/>
              <w:rPr>
                <w:szCs w:val="26"/>
              </w:rPr>
            </w:pPr>
          </w:p>
        </w:tc>
        <w:tc>
          <w:tcPr>
            <w:tcW w:w="4395" w:type="dxa"/>
            <w:shd w:val="clear" w:color="auto" w:fill="auto"/>
          </w:tcPr>
          <w:p w:rsidR="006702D3" w:rsidRPr="00461F71" w:rsidRDefault="006702D3" w:rsidP="0050713F">
            <w:pPr>
              <w:pStyle w:val="NoSpacing"/>
              <w:jc w:val="both"/>
              <w:rPr>
                <w:szCs w:val="26"/>
              </w:rPr>
            </w:pPr>
            <w:r w:rsidRPr="00FA1EEC">
              <w:rPr>
                <w:szCs w:val="26"/>
              </w:rPr>
              <w:t xml:space="preserve">Empower the Registrar or authorised ACRA officers to inspect the financial statements kept or require the company to produce such documents, and impose a fine of not exceeding $10,000 or </w:t>
            </w:r>
            <w:r w:rsidRPr="00FA1EEC">
              <w:rPr>
                <w:szCs w:val="26"/>
              </w:rPr>
              <w:lastRenderedPageBreak/>
              <w:t>imprisonment for a term not exceeding 2 years or both if any person fails to comply.</w:t>
            </w:r>
          </w:p>
        </w:tc>
        <w:tc>
          <w:tcPr>
            <w:tcW w:w="3119" w:type="dxa"/>
            <w:shd w:val="clear" w:color="auto" w:fill="auto"/>
          </w:tcPr>
          <w:p w:rsidR="006702D3" w:rsidRDefault="006702D3" w:rsidP="008B064B">
            <w:pPr>
              <w:pStyle w:val="NoSpacing"/>
              <w:jc w:val="both"/>
              <w:rPr>
                <w:szCs w:val="26"/>
              </w:rPr>
            </w:pPr>
            <w:r>
              <w:rPr>
                <w:szCs w:val="26"/>
              </w:rPr>
              <w:lastRenderedPageBreak/>
              <w:t>To enhance</w:t>
            </w:r>
            <w:r w:rsidRPr="005C1C7D">
              <w:rPr>
                <w:szCs w:val="26"/>
              </w:rPr>
              <w:t xml:space="preserve"> ACRA</w:t>
            </w:r>
            <w:r>
              <w:rPr>
                <w:szCs w:val="26"/>
              </w:rPr>
              <w:t>’s</w:t>
            </w:r>
            <w:r w:rsidRPr="005C1C7D">
              <w:rPr>
                <w:szCs w:val="26"/>
              </w:rPr>
              <w:t xml:space="preserve"> </w:t>
            </w:r>
            <w:r>
              <w:rPr>
                <w:szCs w:val="26"/>
              </w:rPr>
              <w:t xml:space="preserve">inspection powers to facilitate regulatory enforcement. </w:t>
            </w:r>
            <w:r w:rsidRPr="005C1C7D">
              <w:rPr>
                <w:szCs w:val="26"/>
              </w:rPr>
              <w:t xml:space="preserve"> </w:t>
            </w:r>
            <w:r>
              <w:rPr>
                <w:szCs w:val="26"/>
              </w:rPr>
              <w:t>P</w:t>
            </w:r>
            <w:r w:rsidRPr="005C1C7D">
              <w:rPr>
                <w:szCs w:val="26"/>
              </w:rPr>
              <w:t xml:space="preserve">roposed penalties are based on </w:t>
            </w:r>
            <w:r w:rsidRPr="005C1C7D">
              <w:rPr>
                <w:szCs w:val="26"/>
              </w:rPr>
              <w:lastRenderedPageBreak/>
              <w:t>existing penalties under section 31 (on powers of enforcement) of ACRA Act.</w:t>
            </w:r>
          </w:p>
        </w:tc>
      </w:tr>
      <w:tr w:rsidR="006702D3" w:rsidRPr="003E6052" w:rsidTr="00C42E01">
        <w:tc>
          <w:tcPr>
            <w:tcW w:w="13893" w:type="dxa"/>
            <w:gridSpan w:val="5"/>
            <w:shd w:val="clear" w:color="auto" w:fill="FBD4B4" w:themeFill="accent6" w:themeFillTint="66"/>
          </w:tcPr>
          <w:p w:rsidR="006702D3" w:rsidRPr="00905F43" w:rsidRDefault="006702D3" w:rsidP="005D7D8D">
            <w:pPr>
              <w:pStyle w:val="NoSpacing"/>
              <w:tabs>
                <w:tab w:val="left" w:pos="3336"/>
              </w:tabs>
              <w:jc w:val="both"/>
              <w:rPr>
                <w:b/>
                <w:szCs w:val="26"/>
              </w:rPr>
            </w:pPr>
            <w:r w:rsidRPr="00905F43">
              <w:rPr>
                <w:b/>
                <w:szCs w:val="26"/>
              </w:rPr>
              <w:lastRenderedPageBreak/>
              <w:t>Time periods for member/ auditor to request and for directors to convene an AGM</w:t>
            </w:r>
          </w:p>
        </w:tc>
      </w:tr>
      <w:tr w:rsidR="006702D3" w:rsidRPr="003E6052" w:rsidTr="00E461EB">
        <w:tc>
          <w:tcPr>
            <w:tcW w:w="1126" w:type="dxa"/>
          </w:tcPr>
          <w:p w:rsidR="006702D3" w:rsidRDefault="006702D3">
            <w:pPr>
              <w:jc w:val="center"/>
              <w:rPr>
                <w:szCs w:val="26"/>
              </w:rPr>
            </w:pPr>
            <w:r>
              <w:rPr>
                <w:szCs w:val="26"/>
              </w:rPr>
              <w:t>35</w:t>
            </w:r>
          </w:p>
        </w:tc>
        <w:tc>
          <w:tcPr>
            <w:tcW w:w="5253" w:type="dxa"/>
            <w:gridSpan w:val="2"/>
          </w:tcPr>
          <w:p w:rsidR="006702D3" w:rsidRDefault="006702D3" w:rsidP="00C36361">
            <w:pPr>
              <w:pStyle w:val="NoSpacing"/>
              <w:jc w:val="both"/>
              <w:rPr>
                <w:szCs w:val="26"/>
              </w:rPr>
            </w:pPr>
            <w:r w:rsidRPr="00905F43">
              <w:rPr>
                <w:szCs w:val="26"/>
              </w:rPr>
              <w:t>Private companies that have dispensed with holding an AGM under section 175A are required under section 203(1)(b)</w:t>
            </w:r>
            <w:r>
              <w:rPr>
                <w:szCs w:val="26"/>
              </w:rPr>
              <w:t xml:space="preserve"> </w:t>
            </w:r>
            <w:r w:rsidRPr="00905F43">
              <w:rPr>
                <w:szCs w:val="26"/>
              </w:rPr>
              <w:t>to send its accounts and documents not less than 28 days before the period allowed for laying the documents</w:t>
            </w:r>
            <w:r>
              <w:rPr>
                <w:szCs w:val="26"/>
              </w:rPr>
              <w:t xml:space="preserve"> at a general meeting</w:t>
            </w:r>
            <w:r w:rsidRPr="00905F43">
              <w:rPr>
                <w:szCs w:val="26"/>
              </w:rPr>
              <w:t>.</w:t>
            </w:r>
          </w:p>
          <w:p w:rsidR="006702D3" w:rsidRDefault="006702D3" w:rsidP="00C36361">
            <w:pPr>
              <w:pStyle w:val="NoSpacing"/>
              <w:jc w:val="both"/>
              <w:rPr>
                <w:szCs w:val="26"/>
              </w:rPr>
            </w:pPr>
          </w:p>
          <w:p w:rsidR="00B219D9" w:rsidRPr="00905F43" w:rsidRDefault="006702D3" w:rsidP="00C30FBD">
            <w:pPr>
              <w:pStyle w:val="NoSpacing"/>
              <w:jc w:val="both"/>
              <w:rPr>
                <w:szCs w:val="26"/>
              </w:rPr>
            </w:pPr>
            <w:r w:rsidRPr="00905F43">
              <w:rPr>
                <w:szCs w:val="26"/>
              </w:rPr>
              <w:t xml:space="preserve">A member or auditor may request for a meeting to be held under section 203(4) by a notice to the company not later than </w:t>
            </w:r>
            <w:r w:rsidRPr="00F5495E">
              <w:rPr>
                <w:szCs w:val="26"/>
              </w:rPr>
              <w:t>28 days from the day on which the accounts and documents were sent out. Following the notice, the director is required under section 203(6) to convene a meeting within 21 days of the notice.</w:t>
            </w:r>
          </w:p>
        </w:tc>
        <w:tc>
          <w:tcPr>
            <w:tcW w:w="4395" w:type="dxa"/>
            <w:shd w:val="clear" w:color="auto" w:fill="auto"/>
          </w:tcPr>
          <w:p w:rsidR="006702D3" w:rsidRPr="00905F43" w:rsidRDefault="006702D3" w:rsidP="00043AC4">
            <w:pPr>
              <w:pStyle w:val="NoSpacing"/>
              <w:tabs>
                <w:tab w:val="center" w:pos="2868"/>
              </w:tabs>
              <w:jc w:val="both"/>
              <w:rPr>
                <w:szCs w:val="26"/>
              </w:rPr>
            </w:pPr>
            <w:r w:rsidRPr="00905F43">
              <w:rPr>
                <w:szCs w:val="26"/>
              </w:rPr>
              <w:t>Reduce time periods:</w:t>
            </w:r>
          </w:p>
          <w:p w:rsidR="006702D3" w:rsidRPr="00C36361" w:rsidRDefault="006702D3" w:rsidP="00924C35">
            <w:pPr>
              <w:pStyle w:val="NoSpacing"/>
              <w:numPr>
                <w:ilvl w:val="0"/>
                <w:numId w:val="6"/>
              </w:numPr>
              <w:ind w:left="459" w:hanging="459"/>
              <w:jc w:val="both"/>
              <w:rPr>
                <w:szCs w:val="26"/>
              </w:rPr>
            </w:pPr>
            <w:r w:rsidRPr="00905F43">
              <w:rPr>
                <w:szCs w:val="26"/>
              </w:rPr>
              <w:t xml:space="preserve">under section 203(4) for member/ auditor to request an AGM </w:t>
            </w:r>
            <w:r w:rsidRPr="00C36361">
              <w:rPr>
                <w:szCs w:val="26"/>
              </w:rPr>
              <w:t>from 28 days to 14 days; and</w:t>
            </w:r>
          </w:p>
          <w:p w:rsidR="006702D3" w:rsidRPr="00C36361" w:rsidRDefault="006702D3" w:rsidP="00924C35">
            <w:pPr>
              <w:pStyle w:val="NoSpacing"/>
              <w:numPr>
                <w:ilvl w:val="0"/>
                <w:numId w:val="6"/>
              </w:numPr>
              <w:ind w:left="459" w:hanging="459"/>
              <w:jc w:val="both"/>
              <w:rPr>
                <w:szCs w:val="26"/>
              </w:rPr>
            </w:pPr>
            <w:r w:rsidRPr="00C36361">
              <w:rPr>
                <w:szCs w:val="26"/>
              </w:rPr>
              <w:t>under section 203(6) for directors to convene an AGM from 21 days to 14 days</w:t>
            </w:r>
            <w:r w:rsidRPr="00905F43">
              <w:rPr>
                <w:szCs w:val="26"/>
              </w:rPr>
              <w:t>.</w:t>
            </w:r>
          </w:p>
        </w:tc>
        <w:tc>
          <w:tcPr>
            <w:tcW w:w="3119" w:type="dxa"/>
            <w:shd w:val="clear" w:color="auto" w:fill="auto"/>
          </w:tcPr>
          <w:p w:rsidR="006702D3" w:rsidRPr="00905F43" w:rsidRDefault="006702D3" w:rsidP="00AB7660">
            <w:pPr>
              <w:pStyle w:val="NoSpacing"/>
              <w:ind w:left="34"/>
              <w:jc w:val="both"/>
              <w:rPr>
                <w:szCs w:val="26"/>
              </w:rPr>
            </w:pPr>
            <w:r>
              <w:rPr>
                <w:szCs w:val="26"/>
              </w:rPr>
              <w:t xml:space="preserve">To </w:t>
            </w:r>
            <w:r w:rsidRPr="00905F43">
              <w:rPr>
                <w:szCs w:val="26"/>
              </w:rPr>
              <w:t>ensure that a private company that has dispensed with holding an AGM under section 175A will have sufficient time to convene the meeting, if requested by a member or auditor</w:t>
            </w:r>
            <w:r>
              <w:rPr>
                <w:rStyle w:val="FootnoteReference"/>
                <w:szCs w:val="26"/>
              </w:rPr>
              <w:footnoteReference w:id="4"/>
            </w:r>
            <w:r w:rsidRPr="00905F43">
              <w:rPr>
                <w:szCs w:val="26"/>
              </w:rPr>
              <w:t>.</w:t>
            </w:r>
          </w:p>
        </w:tc>
      </w:tr>
      <w:tr w:rsidR="006702D3" w:rsidRPr="003E6052" w:rsidTr="00C42E01">
        <w:tc>
          <w:tcPr>
            <w:tcW w:w="13893" w:type="dxa"/>
            <w:gridSpan w:val="5"/>
            <w:shd w:val="clear" w:color="auto" w:fill="FBD4B4" w:themeFill="accent6" w:themeFillTint="66"/>
          </w:tcPr>
          <w:p w:rsidR="006702D3" w:rsidRPr="00A1153E" w:rsidRDefault="006702D3" w:rsidP="00AD7E69">
            <w:pPr>
              <w:pStyle w:val="NoSpacing"/>
              <w:jc w:val="both"/>
            </w:pPr>
            <w:r w:rsidRPr="003F5FB2">
              <w:rPr>
                <w:b/>
                <w:szCs w:val="26"/>
              </w:rPr>
              <w:t xml:space="preserve">Clarify </w:t>
            </w:r>
            <w:r>
              <w:rPr>
                <w:b/>
                <w:szCs w:val="26"/>
              </w:rPr>
              <w:t xml:space="preserve">directors’ </w:t>
            </w:r>
            <w:r w:rsidRPr="003F5FB2">
              <w:rPr>
                <w:b/>
                <w:szCs w:val="26"/>
              </w:rPr>
              <w:t xml:space="preserve">obligations under </w:t>
            </w:r>
            <w:r>
              <w:rPr>
                <w:b/>
                <w:szCs w:val="26"/>
              </w:rPr>
              <w:t xml:space="preserve">section </w:t>
            </w:r>
            <w:r w:rsidRPr="003F5FB2">
              <w:rPr>
                <w:b/>
                <w:szCs w:val="26"/>
              </w:rPr>
              <w:t>203A</w:t>
            </w:r>
          </w:p>
        </w:tc>
      </w:tr>
      <w:tr w:rsidR="006702D3" w:rsidRPr="003E6052" w:rsidTr="00E461EB">
        <w:tc>
          <w:tcPr>
            <w:tcW w:w="1126" w:type="dxa"/>
          </w:tcPr>
          <w:p w:rsidR="006702D3" w:rsidRDefault="006702D3">
            <w:pPr>
              <w:jc w:val="center"/>
              <w:rPr>
                <w:szCs w:val="26"/>
              </w:rPr>
            </w:pPr>
            <w:r>
              <w:rPr>
                <w:szCs w:val="26"/>
              </w:rPr>
              <w:t>36</w:t>
            </w:r>
          </w:p>
        </w:tc>
        <w:tc>
          <w:tcPr>
            <w:tcW w:w="5253" w:type="dxa"/>
            <w:gridSpan w:val="2"/>
          </w:tcPr>
          <w:p w:rsidR="006702D3" w:rsidRDefault="006702D3" w:rsidP="007D571C">
            <w:pPr>
              <w:jc w:val="both"/>
              <w:rPr>
                <w:szCs w:val="26"/>
              </w:rPr>
            </w:pPr>
            <w:r>
              <w:rPr>
                <w:szCs w:val="26"/>
              </w:rPr>
              <w:t>Section 203A allows a listed company to send a summary of financial statement to members. Section 203A(7) imposes penalty on the company and every officer in default for non-</w:t>
            </w:r>
            <w:r>
              <w:rPr>
                <w:szCs w:val="26"/>
              </w:rPr>
              <w:lastRenderedPageBreak/>
              <w:t>compliance. Section 204(1A) also imposes a penalty on directors for non-compliance.</w:t>
            </w:r>
          </w:p>
          <w:p w:rsidR="006702D3" w:rsidRDefault="006702D3" w:rsidP="007D571C">
            <w:pPr>
              <w:jc w:val="both"/>
              <w:rPr>
                <w:szCs w:val="26"/>
              </w:rPr>
            </w:pPr>
          </w:p>
          <w:p w:rsidR="006702D3" w:rsidRPr="006120B0" w:rsidRDefault="006702D3" w:rsidP="0077534D">
            <w:pPr>
              <w:jc w:val="both"/>
              <w:rPr>
                <w:szCs w:val="26"/>
              </w:rPr>
            </w:pPr>
            <w:r>
              <w:rPr>
                <w:szCs w:val="26"/>
              </w:rPr>
              <w:t>(Note: The applicability of section 203A has been extended to all companies in the first part of the draft Bill.)</w:t>
            </w:r>
          </w:p>
        </w:tc>
        <w:tc>
          <w:tcPr>
            <w:tcW w:w="4395" w:type="dxa"/>
            <w:shd w:val="clear" w:color="auto" w:fill="auto"/>
          </w:tcPr>
          <w:p w:rsidR="006702D3" w:rsidRDefault="006702D3">
            <w:pPr>
              <w:pStyle w:val="BodyText2"/>
              <w:snapToGrid w:val="0"/>
              <w:jc w:val="both"/>
              <w:rPr>
                <w:strike w:val="0"/>
                <w:color w:val="auto"/>
                <w:sz w:val="26"/>
                <w:szCs w:val="26"/>
                <w:lang w:val="en-US"/>
              </w:rPr>
            </w:pPr>
            <w:r w:rsidRPr="00852CA1">
              <w:rPr>
                <w:strike w:val="0"/>
                <w:color w:val="auto"/>
                <w:sz w:val="26"/>
                <w:szCs w:val="26"/>
                <w:lang w:val="en-US"/>
              </w:rPr>
              <w:lastRenderedPageBreak/>
              <w:t>Amend section 203A to clarify</w:t>
            </w:r>
            <w:r>
              <w:rPr>
                <w:strike w:val="0"/>
                <w:color w:val="auto"/>
                <w:sz w:val="26"/>
                <w:szCs w:val="26"/>
                <w:lang w:val="en-US"/>
              </w:rPr>
              <w:t xml:space="preserve"> that the</w:t>
            </w:r>
            <w:r w:rsidRPr="00852CA1">
              <w:rPr>
                <w:strike w:val="0"/>
                <w:color w:val="auto"/>
                <w:sz w:val="26"/>
                <w:szCs w:val="26"/>
                <w:lang w:val="en-US"/>
              </w:rPr>
              <w:t xml:space="preserve"> directors’ </w:t>
            </w:r>
            <w:r>
              <w:rPr>
                <w:strike w:val="0"/>
                <w:color w:val="auto"/>
                <w:sz w:val="26"/>
                <w:szCs w:val="26"/>
                <w:lang w:val="en-US"/>
              </w:rPr>
              <w:t>are responsible for</w:t>
            </w:r>
            <w:r w:rsidRPr="00852CA1">
              <w:rPr>
                <w:strike w:val="0"/>
                <w:color w:val="auto"/>
                <w:sz w:val="26"/>
                <w:szCs w:val="26"/>
                <w:lang w:val="en-US"/>
              </w:rPr>
              <w:t xml:space="preserve"> ensuring that the summary financial statements comply with section 203A.</w:t>
            </w:r>
          </w:p>
        </w:tc>
        <w:tc>
          <w:tcPr>
            <w:tcW w:w="3119" w:type="dxa"/>
            <w:shd w:val="clear" w:color="auto" w:fill="auto"/>
          </w:tcPr>
          <w:p w:rsidR="006702D3" w:rsidRDefault="006702D3">
            <w:pPr>
              <w:pStyle w:val="NoSpacing"/>
              <w:jc w:val="both"/>
              <w:rPr>
                <w:szCs w:val="26"/>
              </w:rPr>
            </w:pPr>
            <w:r>
              <w:rPr>
                <w:szCs w:val="26"/>
              </w:rPr>
              <w:t xml:space="preserve">For clarity as current drafting does not clearly indicate directors’ responsibility for summary </w:t>
            </w:r>
            <w:r>
              <w:rPr>
                <w:szCs w:val="26"/>
              </w:rPr>
              <w:lastRenderedPageBreak/>
              <w:t>financial statements, even though there are penalties for breach. The penalties for breach of the new directors’ responsibility in relation to summary financial statements will be under section 204(1A).</w:t>
            </w:r>
          </w:p>
        </w:tc>
      </w:tr>
      <w:tr w:rsidR="006702D3" w:rsidRPr="003E6052" w:rsidTr="00C42E01">
        <w:tc>
          <w:tcPr>
            <w:tcW w:w="13893" w:type="dxa"/>
            <w:gridSpan w:val="5"/>
            <w:shd w:val="clear" w:color="auto" w:fill="FBD4B4" w:themeFill="accent6" w:themeFillTint="66"/>
          </w:tcPr>
          <w:p w:rsidR="006702D3" w:rsidRPr="00C343B1" w:rsidRDefault="006702D3" w:rsidP="00E91076">
            <w:pPr>
              <w:pStyle w:val="NoSpacing"/>
              <w:jc w:val="both"/>
              <w:rPr>
                <w:b/>
                <w:bCs/>
                <w:szCs w:val="26"/>
              </w:rPr>
            </w:pPr>
            <w:r w:rsidRPr="00C343B1">
              <w:rPr>
                <w:b/>
                <w:bCs/>
                <w:szCs w:val="26"/>
              </w:rPr>
              <w:lastRenderedPageBreak/>
              <w:t xml:space="preserve">Power of Registrar to strike a </w:t>
            </w:r>
            <w:r>
              <w:rPr>
                <w:b/>
                <w:bCs/>
                <w:szCs w:val="26"/>
              </w:rPr>
              <w:t xml:space="preserve">defunct </w:t>
            </w:r>
            <w:r w:rsidRPr="00C343B1">
              <w:rPr>
                <w:b/>
                <w:bCs/>
                <w:szCs w:val="26"/>
              </w:rPr>
              <w:t>company off register</w:t>
            </w:r>
          </w:p>
        </w:tc>
      </w:tr>
      <w:tr w:rsidR="006702D3" w:rsidRPr="003E6052" w:rsidTr="00E461EB">
        <w:tc>
          <w:tcPr>
            <w:tcW w:w="1126" w:type="dxa"/>
          </w:tcPr>
          <w:p w:rsidR="006702D3" w:rsidRPr="00BF17AB" w:rsidRDefault="006702D3" w:rsidP="008F4106">
            <w:pPr>
              <w:jc w:val="center"/>
              <w:rPr>
                <w:szCs w:val="26"/>
              </w:rPr>
            </w:pPr>
            <w:r>
              <w:rPr>
                <w:szCs w:val="26"/>
              </w:rPr>
              <w:t>37</w:t>
            </w:r>
          </w:p>
        </w:tc>
        <w:tc>
          <w:tcPr>
            <w:tcW w:w="5253" w:type="dxa"/>
            <w:gridSpan w:val="2"/>
          </w:tcPr>
          <w:p w:rsidR="006702D3" w:rsidRPr="000D3327" w:rsidRDefault="006702D3" w:rsidP="00043AC4">
            <w:pPr>
              <w:jc w:val="both"/>
              <w:rPr>
                <w:bCs/>
                <w:szCs w:val="26"/>
              </w:rPr>
            </w:pPr>
            <w:r w:rsidRPr="00C343B1">
              <w:rPr>
                <w:bCs/>
                <w:szCs w:val="26"/>
              </w:rPr>
              <w:t>Section 344 empowers the Registrar to strike a defunct company off the register if the Registrar has reasonable cause to believe that the company is not carrying on business or is not in operation.</w:t>
            </w:r>
          </w:p>
        </w:tc>
        <w:tc>
          <w:tcPr>
            <w:tcW w:w="4395" w:type="dxa"/>
            <w:tcBorders>
              <w:bottom w:val="single" w:sz="4" w:space="0" w:color="000000"/>
            </w:tcBorders>
            <w:shd w:val="clear" w:color="auto" w:fill="auto"/>
          </w:tcPr>
          <w:p w:rsidR="006702D3" w:rsidRDefault="006702D3" w:rsidP="008B064B">
            <w:pPr>
              <w:jc w:val="both"/>
              <w:rPr>
                <w:szCs w:val="26"/>
              </w:rPr>
            </w:pPr>
            <w:r>
              <w:rPr>
                <w:szCs w:val="26"/>
              </w:rPr>
              <w:t xml:space="preserve">Introduce section 344(1A) to provide that regulations </w:t>
            </w:r>
            <w:r w:rsidR="007603E5">
              <w:rPr>
                <w:szCs w:val="26"/>
              </w:rPr>
              <w:t xml:space="preserve">may </w:t>
            </w:r>
            <w:r>
              <w:rPr>
                <w:szCs w:val="26"/>
              </w:rPr>
              <w:t>set out the circumstances for the Registrar to determine whether a company is not carrying on business.</w:t>
            </w:r>
          </w:p>
          <w:p w:rsidR="006702D3" w:rsidRDefault="006702D3" w:rsidP="008B064B">
            <w:pPr>
              <w:jc w:val="both"/>
              <w:rPr>
                <w:szCs w:val="26"/>
              </w:rPr>
            </w:pPr>
          </w:p>
          <w:p w:rsidR="006702D3" w:rsidRDefault="006702D3" w:rsidP="008F4106">
            <w:pPr>
              <w:jc w:val="both"/>
              <w:rPr>
                <w:szCs w:val="26"/>
              </w:rPr>
            </w:pPr>
            <w:r>
              <w:rPr>
                <w:szCs w:val="26"/>
              </w:rPr>
              <w:t xml:space="preserve">The circumstances </w:t>
            </w:r>
            <w:r w:rsidR="002823DF">
              <w:rPr>
                <w:szCs w:val="26"/>
              </w:rPr>
              <w:t xml:space="preserve">could </w:t>
            </w:r>
            <w:r>
              <w:rPr>
                <w:szCs w:val="26"/>
              </w:rPr>
              <w:t>include the following situations where:</w:t>
            </w:r>
          </w:p>
          <w:p w:rsidR="006702D3" w:rsidRPr="00E91076" w:rsidRDefault="006702D3" w:rsidP="00E91076">
            <w:pPr>
              <w:pStyle w:val="ListParagraph"/>
              <w:keepNext/>
              <w:keepLines/>
              <w:numPr>
                <w:ilvl w:val="0"/>
                <w:numId w:val="47"/>
              </w:numPr>
              <w:spacing w:before="200"/>
              <w:jc w:val="both"/>
              <w:outlineLvl w:val="1"/>
              <w:rPr>
                <w:szCs w:val="26"/>
              </w:rPr>
            </w:pPr>
            <w:r w:rsidRPr="00E91076">
              <w:rPr>
                <w:szCs w:val="26"/>
              </w:rPr>
              <w:t>the company has failed to file its financial statements</w:t>
            </w:r>
            <w:r w:rsidRPr="00F016E0">
              <w:rPr>
                <w:szCs w:val="26"/>
              </w:rPr>
              <w:t>/annual return for a prescribed period;</w:t>
            </w:r>
          </w:p>
          <w:p w:rsidR="006702D3" w:rsidRPr="00E91076" w:rsidRDefault="006702D3" w:rsidP="00E91076">
            <w:pPr>
              <w:pStyle w:val="ListParagraph"/>
              <w:keepNext/>
              <w:keepLines/>
              <w:numPr>
                <w:ilvl w:val="0"/>
                <w:numId w:val="47"/>
              </w:numPr>
              <w:spacing w:before="200"/>
              <w:jc w:val="both"/>
              <w:outlineLvl w:val="1"/>
              <w:rPr>
                <w:szCs w:val="26"/>
              </w:rPr>
            </w:pPr>
            <w:r w:rsidRPr="00F016E0">
              <w:rPr>
                <w:szCs w:val="26"/>
              </w:rPr>
              <w:t>the company has failed to respond to correspondence sent by the Registrar beyond a specified period;</w:t>
            </w:r>
          </w:p>
          <w:p w:rsidR="006702D3" w:rsidRPr="00E91076" w:rsidRDefault="006702D3" w:rsidP="00E91076">
            <w:pPr>
              <w:pStyle w:val="ListParagraph"/>
              <w:keepNext/>
              <w:keepLines/>
              <w:numPr>
                <w:ilvl w:val="0"/>
                <w:numId w:val="47"/>
              </w:numPr>
              <w:spacing w:before="200"/>
              <w:jc w:val="both"/>
              <w:outlineLvl w:val="1"/>
              <w:rPr>
                <w:szCs w:val="26"/>
              </w:rPr>
            </w:pPr>
            <w:r w:rsidRPr="00F016E0">
              <w:rPr>
                <w:szCs w:val="26"/>
              </w:rPr>
              <w:t xml:space="preserve">the Registrar has received information from credible third-party sources such as government agencies that the company is not carrying on business or is not in </w:t>
            </w:r>
            <w:r w:rsidRPr="00F016E0">
              <w:rPr>
                <w:szCs w:val="26"/>
              </w:rPr>
              <w:lastRenderedPageBreak/>
              <w:t>operation and these agencies have requested ACRA to initiate striking-off action; and</w:t>
            </w:r>
          </w:p>
          <w:p w:rsidR="006702D3" w:rsidRPr="00E91076" w:rsidRDefault="006702D3" w:rsidP="00E91076">
            <w:pPr>
              <w:pStyle w:val="ListParagraph"/>
              <w:keepNext/>
              <w:keepLines/>
              <w:numPr>
                <w:ilvl w:val="0"/>
                <w:numId w:val="47"/>
              </w:numPr>
              <w:spacing w:before="200"/>
              <w:jc w:val="both"/>
              <w:outlineLvl w:val="1"/>
              <w:rPr>
                <w:szCs w:val="26"/>
              </w:rPr>
            </w:pPr>
            <w:r w:rsidRPr="00F016E0">
              <w:rPr>
                <w:szCs w:val="26"/>
              </w:rPr>
              <w:t>the company is left with no directors or locally resident directors, or the Registrar is unable to contact or locate the directors of the company.</w:t>
            </w:r>
          </w:p>
        </w:tc>
        <w:tc>
          <w:tcPr>
            <w:tcW w:w="3119" w:type="dxa"/>
            <w:tcBorders>
              <w:bottom w:val="single" w:sz="4" w:space="0" w:color="000000"/>
            </w:tcBorders>
            <w:shd w:val="clear" w:color="auto" w:fill="auto"/>
          </w:tcPr>
          <w:p w:rsidR="006702D3" w:rsidRPr="00AA3968" w:rsidRDefault="006702D3" w:rsidP="008F4106">
            <w:pPr>
              <w:pStyle w:val="NoSpacing"/>
              <w:jc w:val="both"/>
              <w:rPr>
                <w:szCs w:val="26"/>
              </w:rPr>
            </w:pPr>
            <w:r>
              <w:rPr>
                <w:szCs w:val="26"/>
              </w:rPr>
              <w:lastRenderedPageBreak/>
              <w:t>Prescription of the circumstances will provide greater transparency.</w:t>
            </w:r>
          </w:p>
        </w:tc>
      </w:tr>
      <w:tr w:rsidR="006702D3" w:rsidRPr="003E6052" w:rsidTr="00C42E01">
        <w:tc>
          <w:tcPr>
            <w:tcW w:w="13893" w:type="dxa"/>
            <w:gridSpan w:val="5"/>
            <w:shd w:val="clear" w:color="auto" w:fill="FBD4B4" w:themeFill="accent6" w:themeFillTint="66"/>
          </w:tcPr>
          <w:p w:rsidR="006702D3" w:rsidRPr="00F72712" w:rsidRDefault="006702D3" w:rsidP="005D7D8D">
            <w:pPr>
              <w:jc w:val="both"/>
              <w:rPr>
                <w:b/>
                <w:bCs/>
                <w:szCs w:val="26"/>
              </w:rPr>
            </w:pPr>
            <w:r w:rsidRPr="00F72712">
              <w:rPr>
                <w:b/>
                <w:bCs/>
                <w:szCs w:val="26"/>
              </w:rPr>
              <w:lastRenderedPageBreak/>
              <w:t>Applicability to all foreign companies</w:t>
            </w:r>
          </w:p>
        </w:tc>
      </w:tr>
      <w:tr w:rsidR="006702D3" w:rsidRPr="003E6052" w:rsidTr="00E461EB">
        <w:tc>
          <w:tcPr>
            <w:tcW w:w="1126" w:type="dxa"/>
          </w:tcPr>
          <w:p w:rsidR="006702D3" w:rsidRDefault="006702D3">
            <w:pPr>
              <w:jc w:val="center"/>
              <w:rPr>
                <w:szCs w:val="26"/>
              </w:rPr>
            </w:pPr>
            <w:r>
              <w:rPr>
                <w:szCs w:val="26"/>
              </w:rPr>
              <w:t>38</w:t>
            </w:r>
          </w:p>
        </w:tc>
        <w:tc>
          <w:tcPr>
            <w:tcW w:w="5253" w:type="dxa"/>
            <w:gridSpan w:val="2"/>
          </w:tcPr>
          <w:p w:rsidR="006702D3" w:rsidRPr="00F72712" w:rsidRDefault="006702D3" w:rsidP="00043AC4">
            <w:pPr>
              <w:jc w:val="both"/>
              <w:rPr>
                <w:bCs/>
                <w:szCs w:val="26"/>
              </w:rPr>
            </w:pPr>
            <w:r w:rsidRPr="00F72712">
              <w:rPr>
                <w:bCs/>
                <w:szCs w:val="26"/>
              </w:rPr>
              <w:t xml:space="preserve">Section 365 specifies that Part XI, Division 2 on </w:t>
            </w:r>
            <w:r>
              <w:rPr>
                <w:bCs/>
                <w:szCs w:val="26"/>
                <w:lang w:val="en-US"/>
              </w:rPr>
              <w:t>“</w:t>
            </w:r>
            <w:r>
              <w:rPr>
                <w:bCs/>
                <w:szCs w:val="26"/>
              </w:rPr>
              <w:t xml:space="preserve">Foreign Companies” applies to </w:t>
            </w:r>
            <w:r>
              <w:rPr>
                <w:bCs/>
                <w:szCs w:val="26"/>
                <w:lang w:val="en-US"/>
              </w:rPr>
              <w:t>“</w:t>
            </w:r>
            <w:r w:rsidRPr="00F5495E">
              <w:rPr>
                <w:bCs/>
                <w:szCs w:val="26"/>
              </w:rPr>
              <w:t>a foreign company which, before it establishes a place of business or commences to carry on business in Singapore, complies with section 368 and is registered under this Division</w:t>
            </w:r>
            <w:r>
              <w:rPr>
                <w:bCs/>
                <w:szCs w:val="26"/>
                <w:lang w:val="en-US"/>
              </w:rPr>
              <w:t>”</w:t>
            </w:r>
            <w:r>
              <w:rPr>
                <w:bCs/>
                <w:szCs w:val="26"/>
              </w:rPr>
              <w:t>.</w:t>
            </w:r>
          </w:p>
        </w:tc>
        <w:tc>
          <w:tcPr>
            <w:tcW w:w="4395" w:type="dxa"/>
            <w:shd w:val="clear" w:color="auto" w:fill="auto"/>
          </w:tcPr>
          <w:p w:rsidR="006702D3" w:rsidRPr="00F72712" w:rsidRDefault="006702D3" w:rsidP="00705431">
            <w:pPr>
              <w:pStyle w:val="NoSpacing"/>
              <w:jc w:val="both"/>
              <w:rPr>
                <w:szCs w:val="26"/>
              </w:rPr>
            </w:pPr>
            <w:r>
              <w:rPr>
                <w:bCs/>
                <w:szCs w:val="26"/>
              </w:rPr>
              <w:t>Repeal and re-enact</w:t>
            </w:r>
            <w:r w:rsidRPr="00F72712">
              <w:rPr>
                <w:bCs/>
                <w:szCs w:val="26"/>
              </w:rPr>
              <w:t xml:space="preserve"> </w:t>
            </w:r>
            <w:r>
              <w:rPr>
                <w:bCs/>
                <w:szCs w:val="26"/>
              </w:rPr>
              <w:t xml:space="preserve">section 365 </w:t>
            </w:r>
            <w:r w:rsidRPr="00F72712">
              <w:rPr>
                <w:bCs/>
                <w:szCs w:val="26"/>
              </w:rPr>
              <w:t>to</w:t>
            </w:r>
            <w:r>
              <w:rPr>
                <w:bCs/>
                <w:szCs w:val="26"/>
              </w:rPr>
              <w:t xml:space="preserve"> clarify that Part XI, Division 2 will apply</w:t>
            </w:r>
            <w:r w:rsidRPr="00F72712">
              <w:rPr>
                <w:bCs/>
                <w:szCs w:val="26"/>
              </w:rPr>
              <w:t xml:space="preserve"> to </w:t>
            </w:r>
            <w:r>
              <w:rPr>
                <w:bCs/>
                <w:szCs w:val="26"/>
              </w:rPr>
              <w:t>“all foreign companies which establish a place of business or commence to carry on business in Singapore, or intend to do so”.</w:t>
            </w:r>
          </w:p>
        </w:tc>
        <w:tc>
          <w:tcPr>
            <w:tcW w:w="3119" w:type="dxa"/>
            <w:shd w:val="clear" w:color="auto" w:fill="auto"/>
          </w:tcPr>
          <w:p w:rsidR="00B219D9" w:rsidRPr="00381EEB" w:rsidRDefault="006702D3" w:rsidP="00F72712">
            <w:pPr>
              <w:pStyle w:val="NoSpacing"/>
              <w:jc w:val="both"/>
              <w:rPr>
                <w:bCs/>
                <w:szCs w:val="26"/>
              </w:rPr>
            </w:pPr>
            <w:r>
              <w:rPr>
                <w:bCs/>
                <w:szCs w:val="26"/>
              </w:rPr>
              <w:t>Technical amendment to provide clarity. T</w:t>
            </w:r>
            <w:r w:rsidRPr="00F72712">
              <w:rPr>
                <w:bCs/>
                <w:szCs w:val="26"/>
              </w:rPr>
              <w:t>he current provision may appear circuitous since the registration requirement in section 368 is also within Part XI, Division 2. The continuing registration and other regulatory requirements will, however, only be drafted to apply to foreign companies which are registered under the CA.</w:t>
            </w:r>
          </w:p>
        </w:tc>
      </w:tr>
      <w:tr w:rsidR="006702D3" w:rsidRPr="003E6052" w:rsidTr="00C42E01">
        <w:tc>
          <w:tcPr>
            <w:tcW w:w="13893" w:type="dxa"/>
            <w:gridSpan w:val="5"/>
            <w:shd w:val="clear" w:color="auto" w:fill="FBD4B4" w:themeFill="accent6" w:themeFillTint="66"/>
          </w:tcPr>
          <w:p w:rsidR="006702D3" w:rsidRPr="00D243CA" w:rsidRDefault="008D755A" w:rsidP="007864F3">
            <w:pPr>
              <w:pStyle w:val="NoSpacing"/>
              <w:jc w:val="both"/>
              <w:rPr>
                <w:b/>
                <w:szCs w:val="26"/>
              </w:rPr>
            </w:pPr>
            <w:r>
              <w:rPr>
                <w:b/>
                <w:szCs w:val="26"/>
              </w:rPr>
              <w:t>I</w:t>
            </w:r>
            <w:r w:rsidRPr="003A3996">
              <w:rPr>
                <w:b/>
                <w:szCs w:val="26"/>
              </w:rPr>
              <w:t xml:space="preserve">nterpretation </w:t>
            </w:r>
            <w:r>
              <w:rPr>
                <w:b/>
                <w:szCs w:val="26"/>
              </w:rPr>
              <w:t xml:space="preserve">and definitions </w:t>
            </w:r>
            <w:r w:rsidRPr="003A3996">
              <w:rPr>
                <w:b/>
                <w:szCs w:val="26"/>
              </w:rPr>
              <w:t>under Division 2 on foreign companies</w:t>
            </w:r>
          </w:p>
        </w:tc>
      </w:tr>
      <w:tr w:rsidR="00A51262" w:rsidRPr="003E6052" w:rsidTr="00E461EB">
        <w:tc>
          <w:tcPr>
            <w:tcW w:w="1126" w:type="dxa"/>
            <w:vMerge w:val="restart"/>
            <w:shd w:val="clear" w:color="auto" w:fill="auto"/>
          </w:tcPr>
          <w:p w:rsidR="00A51262" w:rsidRPr="008F4106" w:rsidRDefault="00A51262" w:rsidP="002A764F">
            <w:pPr>
              <w:pStyle w:val="NoSpacing"/>
              <w:jc w:val="center"/>
              <w:rPr>
                <w:b/>
                <w:szCs w:val="26"/>
              </w:rPr>
            </w:pPr>
            <w:r w:rsidRPr="008F4106">
              <w:rPr>
                <w:bCs/>
                <w:szCs w:val="26"/>
              </w:rPr>
              <w:t>39</w:t>
            </w:r>
          </w:p>
        </w:tc>
        <w:tc>
          <w:tcPr>
            <w:tcW w:w="5253" w:type="dxa"/>
            <w:gridSpan w:val="2"/>
            <w:shd w:val="clear" w:color="auto" w:fill="auto"/>
          </w:tcPr>
          <w:p w:rsidR="00A51262" w:rsidRPr="002A764F" w:rsidRDefault="005C3C08" w:rsidP="002A764F">
            <w:pPr>
              <w:pStyle w:val="NoSpacing"/>
              <w:jc w:val="both"/>
            </w:pPr>
            <w:r w:rsidRPr="007703F6">
              <w:t>“</w:t>
            </w:r>
            <w:r w:rsidR="00A51262" w:rsidRPr="007703F6">
              <w:t>Agents</w:t>
            </w:r>
            <w:r w:rsidRPr="007703F6">
              <w:t>”</w:t>
            </w:r>
            <w:r w:rsidR="00A51262" w:rsidRPr="007703F6">
              <w:t xml:space="preserve"> refer</w:t>
            </w:r>
            <w:r w:rsidR="00A51262" w:rsidRPr="002A764F">
              <w:t xml:space="preserve"> to natural persons resident in Singapore authorised by the foreign company to accept on its behalf service of process and any notices required to be served on the company. Under section 370(2), agents are responsible for the doing of all such acts, matters and things </w:t>
            </w:r>
            <w:r w:rsidR="00A51262" w:rsidRPr="002A764F">
              <w:lastRenderedPageBreak/>
              <w:t>required to be done by a registered foreign company under the CA and are personally liable if the foreign company breaches any provision in the Act.</w:t>
            </w:r>
          </w:p>
        </w:tc>
        <w:tc>
          <w:tcPr>
            <w:tcW w:w="4395" w:type="dxa"/>
            <w:shd w:val="clear" w:color="auto" w:fill="auto"/>
          </w:tcPr>
          <w:p w:rsidR="00A51262" w:rsidRPr="002A764F" w:rsidRDefault="00A51262" w:rsidP="002A764F">
            <w:pPr>
              <w:pStyle w:val="NoSpacing"/>
              <w:jc w:val="both"/>
            </w:pPr>
            <w:r w:rsidRPr="002A764F">
              <w:lastRenderedPageBreak/>
              <w:t>Amend section 366(1) to introduce a new term “authorised representative” to replace “agent”. Consequential amendments to change all references in the CA from “agent” to “authorised representative”.</w:t>
            </w:r>
          </w:p>
        </w:tc>
        <w:tc>
          <w:tcPr>
            <w:tcW w:w="3119" w:type="dxa"/>
            <w:shd w:val="clear" w:color="auto" w:fill="auto"/>
          </w:tcPr>
          <w:p w:rsidR="00A51262" w:rsidRPr="002A764F" w:rsidRDefault="00A51262" w:rsidP="002A764F">
            <w:pPr>
              <w:pStyle w:val="NoSpacing"/>
              <w:jc w:val="both"/>
            </w:pPr>
            <w:r w:rsidRPr="002A764F">
              <w:t>To better reflect the accountability and responsibility expected of the person.</w:t>
            </w:r>
          </w:p>
        </w:tc>
      </w:tr>
      <w:tr w:rsidR="00A51262" w:rsidRPr="003E6052" w:rsidTr="00E461EB">
        <w:tc>
          <w:tcPr>
            <w:tcW w:w="1126" w:type="dxa"/>
            <w:vMerge/>
          </w:tcPr>
          <w:p w:rsidR="00A51262" w:rsidRDefault="00A51262">
            <w:pPr>
              <w:jc w:val="center"/>
              <w:rPr>
                <w:szCs w:val="26"/>
              </w:rPr>
            </w:pPr>
          </w:p>
        </w:tc>
        <w:tc>
          <w:tcPr>
            <w:tcW w:w="5253" w:type="dxa"/>
            <w:gridSpan w:val="2"/>
            <w:vMerge w:val="restart"/>
          </w:tcPr>
          <w:p w:rsidR="00A51262" w:rsidRPr="00D72795" w:rsidRDefault="00A51262" w:rsidP="00437D95">
            <w:pPr>
              <w:pStyle w:val="NoSpacing"/>
              <w:jc w:val="both"/>
              <w:rPr>
                <w:bCs/>
                <w:i/>
                <w:szCs w:val="26"/>
              </w:rPr>
            </w:pPr>
            <w:r w:rsidRPr="00D72795">
              <w:rPr>
                <w:bCs/>
                <w:szCs w:val="26"/>
              </w:rPr>
              <w:t xml:space="preserve">A foreign company is required to register before it establishes a place of business or commences to carry on business in </w:t>
            </w:r>
            <w:r>
              <w:rPr>
                <w:bCs/>
                <w:szCs w:val="26"/>
              </w:rPr>
              <w:t>Singapore. Under section 366(1), “carrying on business” includes administering, managing or otherwise dealing with property situated in Singapore as an agent, legal personal representative, or trustee, whether by employees or agents or otherwise, and “to carry on business”</w:t>
            </w:r>
            <w:r w:rsidRPr="00D72795">
              <w:rPr>
                <w:bCs/>
                <w:szCs w:val="26"/>
              </w:rPr>
              <w:t xml:space="preserve"> has a corresponding meaning.</w:t>
            </w:r>
          </w:p>
        </w:tc>
        <w:tc>
          <w:tcPr>
            <w:tcW w:w="4395" w:type="dxa"/>
            <w:shd w:val="clear" w:color="auto" w:fill="auto"/>
          </w:tcPr>
          <w:p w:rsidR="00A51262" w:rsidRPr="00C85502" w:rsidRDefault="00A51262" w:rsidP="00F81133">
            <w:pPr>
              <w:pStyle w:val="NoSpacing"/>
              <w:tabs>
                <w:tab w:val="left" w:pos="599"/>
              </w:tabs>
              <w:jc w:val="both"/>
              <w:rPr>
                <w:szCs w:val="26"/>
              </w:rPr>
            </w:pPr>
            <w:r>
              <w:rPr>
                <w:szCs w:val="26"/>
              </w:rPr>
              <w:t>Amend section 366(1) to clarify that the definition of ‘carrying on business’ does not exclude activities carried on without a view to any profit</w:t>
            </w:r>
            <w:r w:rsidRPr="001D5BB5">
              <w:rPr>
                <w:szCs w:val="26"/>
              </w:rPr>
              <w:t xml:space="preserve"> (i.e. business activities for charitable purposes)</w:t>
            </w:r>
            <w:r>
              <w:rPr>
                <w:szCs w:val="26"/>
              </w:rPr>
              <w:t>.</w:t>
            </w:r>
          </w:p>
        </w:tc>
        <w:tc>
          <w:tcPr>
            <w:tcW w:w="3119" w:type="dxa"/>
            <w:shd w:val="clear" w:color="auto" w:fill="auto"/>
          </w:tcPr>
          <w:p w:rsidR="00A51262" w:rsidRPr="00C85502" w:rsidRDefault="00A51262" w:rsidP="00C85502">
            <w:pPr>
              <w:pStyle w:val="NoSpacing"/>
              <w:jc w:val="both"/>
              <w:rPr>
                <w:szCs w:val="26"/>
              </w:rPr>
            </w:pPr>
            <w:r w:rsidRPr="001D5BB5">
              <w:rPr>
                <w:szCs w:val="26"/>
              </w:rPr>
              <w:t xml:space="preserve">Clarify and update definition due to an increasing number of non-profit making organisations using Singapore </w:t>
            </w:r>
            <w:r>
              <w:rPr>
                <w:szCs w:val="26"/>
              </w:rPr>
              <w:t>as an administrative base</w:t>
            </w:r>
            <w:r w:rsidRPr="001D5BB5">
              <w:rPr>
                <w:szCs w:val="26"/>
              </w:rPr>
              <w:t>. ACRA will also issue non-binding guidelines to facilitate the interpretation, clarification and understanding of the definition.</w:t>
            </w:r>
          </w:p>
        </w:tc>
      </w:tr>
      <w:tr w:rsidR="00A51262" w:rsidRPr="003E6052" w:rsidTr="00E461EB">
        <w:tc>
          <w:tcPr>
            <w:tcW w:w="1126" w:type="dxa"/>
            <w:vMerge/>
          </w:tcPr>
          <w:p w:rsidR="00A51262" w:rsidRPr="00BF17AB" w:rsidRDefault="00A51262" w:rsidP="00BF17AB">
            <w:pPr>
              <w:rPr>
                <w:szCs w:val="26"/>
              </w:rPr>
            </w:pPr>
          </w:p>
        </w:tc>
        <w:tc>
          <w:tcPr>
            <w:tcW w:w="5253" w:type="dxa"/>
            <w:gridSpan w:val="2"/>
            <w:vMerge/>
          </w:tcPr>
          <w:p w:rsidR="00A51262" w:rsidRPr="00D72795" w:rsidRDefault="00A51262" w:rsidP="00437D95">
            <w:pPr>
              <w:pStyle w:val="NoSpacing"/>
              <w:jc w:val="both"/>
              <w:rPr>
                <w:bCs/>
                <w:szCs w:val="26"/>
              </w:rPr>
            </w:pPr>
          </w:p>
        </w:tc>
        <w:tc>
          <w:tcPr>
            <w:tcW w:w="4395" w:type="dxa"/>
            <w:shd w:val="clear" w:color="auto" w:fill="auto"/>
          </w:tcPr>
          <w:p w:rsidR="00A51262" w:rsidRDefault="00A51262" w:rsidP="00882A35">
            <w:pPr>
              <w:pStyle w:val="NoSpacing"/>
              <w:tabs>
                <w:tab w:val="left" w:pos="599"/>
              </w:tabs>
              <w:jc w:val="both"/>
              <w:rPr>
                <w:szCs w:val="26"/>
              </w:rPr>
            </w:pPr>
            <w:r>
              <w:rPr>
                <w:szCs w:val="26"/>
              </w:rPr>
              <w:t xml:space="preserve">Introduce section 366(2)(l) to give the Minister </w:t>
            </w:r>
            <w:r w:rsidRPr="001D5BB5">
              <w:rPr>
                <w:szCs w:val="26"/>
              </w:rPr>
              <w:t>the power to exclude certain activities</w:t>
            </w:r>
            <w:r>
              <w:rPr>
                <w:szCs w:val="26"/>
              </w:rPr>
              <w:t xml:space="preserve"> from the definition of “carrying on business”</w:t>
            </w:r>
            <w:r w:rsidRPr="001D5BB5">
              <w:rPr>
                <w:szCs w:val="26"/>
              </w:rPr>
              <w:t xml:space="preserve"> </w:t>
            </w:r>
            <w:r>
              <w:rPr>
                <w:szCs w:val="26"/>
              </w:rPr>
              <w:t xml:space="preserve">via </w:t>
            </w:r>
            <w:r w:rsidRPr="001D5BB5">
              <w:rPr>
                <w:szCs w:val="26"/>
              </w:rPr>
              <w:t>subsidiary legislation</w:t>
            </w:r>
            <w:r>
              <w:rPr>
                <w:szCs w:val="26"/>
              </w:rPr>
              <w:t>.</w:t>
            </w:r>
          </w:p>
        </w:tc>
        <w:tc>
          <w:tcPr>
            <w:tcW w:w="3119" w:type="dxa"/>
            <w:shd w:val="clear" w:color="auto" w:fill="auto"/>
          </w:tcPr>
          <w:p w:rsidR="00A51262" w:rsidRPr="001D5BB5" w:rsidRDefault="00A51262" w:rsidP="00C85502">
            <w:pPr>
              <w:pStyle w:val="NoSpacing"/>
              <w:jc w:val="both"/>
              <w:rPr>
                <w:szCs w:val="26"/>
              </w:rPr>
            </w:pPr>
            <w:r w:rsidRPr="001D5BB5">
              <w:rPr>
                <w:szCs w:val="26"/>
              </w:rPr>
              <w:t>Provide flexibility to update the definition in future.</w:t>
            </w:r>
          </w:p>
        </w:tc>
      </w:tr>
      <w:tr w:rsidR="00A51262" w:rsidRPr="003E6052" w:rsidTr="00E461EB">
        <w:tc>
          <w:tcPr>
            <w:tcW w:w="1126" w:type="dxa"/>
            <w:vMerge/>
          </w:tcPr>
          <w:p w:rsidR="00A51262" w:rsidRDefault="00A51262">
            <w:pPr>
              <w:jc w:val="center"/>
              <w:rPr>
                <w:szCs w:val="26"/>
              </w:rPr>
            </w:pPr>
          </w:p>
        </w:tc>
        <w:tc>
          <w:tcPr>
            <w:tcW w:w="5253" w:type="dxa"/>
            <w:gridSpan w:val="2"/>
          </w:tcPr>
          <w:p w:rsidR="00A51262" w:rsidRPr="006C6741" w:rsidRDefault="00A51262" w:rsidP="00AD7E69">
            <w:pPr>
              <w:pStyle w:val="NoSpacing"/>
              <w:jc w:val="both"/>
              <w:rPr>
                <w:szCs w:val="26"/>
              </w:rPr>
            </w:pPr>
            <w:r>
              <w:rPr>
                <w:szCs w:val="26"/>
              </w:rPr>
              <w:t xml:space="preserve">Section 366(2)(k) states that “Notwithstanding subsection(1), a foreign company shall not be regarded as carrying on business in Singapore for the reason only that in Singapore it effects any transaction through its related corporation licensed or approved under any written law by the Monetary Authority of Singapore, established under the Monetary Authority of Singapore Act (Cap. 186), under an </w:t>
            </w:r>
            <w:r>
              <w:rPr>
                <w:szCs w:val="26"/>
              </w:rPr>
              <w:lastRenderedPageBreak/>
              <w:t xml:space="preserve">arrangement approved by the </w:t>
            </w:r>
            <w:r w:rsidRPr="00F5495E">
              <w:rPr>
                <w:szCs w:val="26"/>
                <w:u w:val="single"/>
              </w:rPr>
              <w:t>Authority</w:t>
            </w:r>
            <w:r>
              <w:rPr>
                <w:szCs w:val="26"/>
              </w:rPr>
              <w:t>”.</w:t>
            </w:r>
          </w:p>
        </w:tc>
        <w:tc>
          <w:tcPr>
            <w:tcW w:w="4395" w:type="dxa"/>
            <w:shd w:val="clear" w:color="auto" w:fill="auto"/>
          </w:tcPr>
          <w:p w:rsidR="00A51262" w:rsidRPr="006C6741" w:rsidRDefault="00A51262" w:rsidP="00C17AF4">
            <w:pPr>
              <w:pStyle w:val="NoSpacing"/>
              <w:jc w:val="both"/>
              <w:rPr>
                <w:szCs w:val="26"/>
              </w:rPr>
            </w:pPr>
            <w:r w:rsidRPr="006C6741">
              <w:rPr>
                <w:szCs w:val="26"/>
              </w:rPr>
              <w:lastRenderedPageBreak/>
              <w:t xml:space="preserve">Amend </w:t>
            </w:r>
            <w:r>
              <w:rPr>
                <w:szCs w:val="26"/>
              </w:rPr>
              <w:t>section 366(2)(k) to clarify that “Authority” refers to “the Monetary Authority of Singapore”.</w:t>
            </w:r>
          </w:p>
        </w:tc>
        <w:tc>
          <w:tcPr>
            <w:tcW w:w="3119" w:type="dxa"/>
            <w:shd w:val="clear" w:color="auto" w:fill="auto"/>
          </w:tcPr>
          <w:p w:rsidR="00A51262" w:rsidRPr="006C6741" w:rsidRDefault="00A51262" w:rsidP="008F4106">
            <w:pPr>
              <w:pStyle w:val="NoSpacing"/>
              <w:jc w:val="both"/>
              <w:rPr>
                <w:szCs w:val="26"/>
              </w:rPr>
            </w:pPr>
            <w:r>
              <w:rPr>
                <w:szCs w:val="26"/>
              </w:rPr>
              <w:t>Technical amendment for clarity.</w:t>
            </w:r>
          </w:p>
        </w:tc>
      </w:tr>
      <w:tr w:rsidR="006702D3" w:rsidRPr="003E6052" w:rsidTr="00C42E01">
        <w:tc>
          <w:tcPr>
            <w:tcW w:w="13893" w:type="dxa"/>
            <w:gridSpan w:val="5"/>
            <w:shd w:val="clear" w:color="auto" w:fill="FBD4B4" w:themeFill="accent6" w:themeFillTint="66"/>
          </w:tcPr>
          <w:p w:rsidR="006702D3" w:rsidRPr="00D243CA" w:rsidRDefault="006702D3" w:rsidP="00983506">
            <w:pPr>
              <w:pStyle w:val="NoSpacing"/>
              <w:jc w:val="both"/>
              <w:rPr>
                <w:b/>
                <w:szCs w:val="26"/>
              </w:rPr>
            </w:pPr>
            <w:r w:rsidRPr="00D243CA">
              <w:rPr>
                <w:b/>
                <w:szCs w:val="26"/>
              </w:rPr>
              <w:lastRenderedPageBreak/>
              <w:t xml:space="preserve">Reduce the minimum number of </w:t>
            </w:r>
            <w:r>
              <w:rPr>
                <w:b/>
                <w:szCs w:val="26"/>
              </w:rPr>
              <w:t xml:space="preserve">authorised representatives and filing </w:t>
            </w:r>
            <w:r w:rsidRPr="00821581">
              <w:rPr>
                <w:b/>
                <w:szCs w:val="26"/>
              </w:rPr>
              <w:t xml:space="preserve">requirement for appointment of authorised </w:t>
            </w:r>
            <w:r>
              <w:rPr>
                <w:b/>
                <w:szCs w:val="26"/>
              </w:rPr>
              <w:t>representatives</w:t>
            </w:r>
          </w:p>
        </w:tc>
      </w:tr>
      <w:tr w:rsidR="006702D3" w:rsidRPr="003E6052" w:rsidTr="00E461EB">
        <w:tc>
          <w:tcPr>
            <w:tcW w:w="1126" w:type="dxa"/>
          </w:tcPr>
          <w:p w:rsidR="006702D3" w:rsidRPr="008F4106" w:rsidRDefault="006702D3">
            <w:pPr>
              <w:jc w:val="center"/>
              <w:rPr>
                <w:bCs/>
                <w:szCs w:val="26"/>
                <w:highlight w:val="yellow"/>
              </w:rPr>
            </w:pPr>
            <w:r w:rsidRPr="008F4106">
              <w:rPr>
                <w:bCs/>
                <w:szCs w:val="26"/>
              </w:rPr>
              <w:t>40 &amp; 42</w:t>
            </w:r>
          </w:p>
        </w:tc>
        <w:tc>
          <w:tcPr>
            <w:tcW w:w="5253" w:type="dxa"/>
            <w:gridSpan w:val="2"/>
          </w:tcPr>
          <w:p w:rsidR="006702D3" w:rsidRPr="00D243CA" w:rsidRDefault="006702D3" w:rsidP="00777BEF">
            <w:pPr>
              <w:jc w:val="both"/>
              <w:rPr>
                <w:bCs/>
                <w:szCs w:val="26"/>
              </w:rPr>
            </w:pPr>
            <w:r w:rsidRPr="00D243CA">
              <w:rPr>
                <w:bCs/>
                <w:szCs w:val="26"/>
              </w:rPr>
              <w:t>Section 368(1)(e) requires a foreign company to appoint at least two authorised locally-resident agents</w:t>
            </w:r>
            <w:r>
              <w:rPr>
                <w:bCs/>
                <w:szCs w:val="26"/>
              </w:rPr>
              <w:t xml:space="preserve"> and </w:t>
            </w:r>
            <w:r w:rsidRPr="00821581">
              <w:rPr>
                <w:bCs/>
                <w:szCs w:val="26"/>
              </w:rPr>
              <w:t>to lodge evidence of the appointment of its agents</w:t>
            </w:r>
            <w:r w:rsidRPr="00D243CA">
              <w:rPr>
                <w:bCs/>
                <w:szCs w:val="26"/>
              </w:rPr>
              <w:t>.</w:t>
            </w:r>
            <w:r>
              <w:rPr>
                <w:bCs/>
                <w:szCs w:val="26"/>
              </w:rPr>
              <w:t xml:space="preserve"> Section 370(4) to (6) sets out the requirements for appointment of replacement agents.</w:t>
            </w:r>
          </w:p>
        </w:tc>
        <w:tc>
          <w:tcPr>
            <w:tcW w:w="4395" w:type="dxa"/>
            <w:shd w:val="clear" w:color="auto" w:fill="auto"/>
          </w:tcPr>
          <w:p w:rsidR="006702D3" w:rsidRPr="00BC052E" w:rsidRDefault="006702D3" w:rsidP="00BC052E">
            <w:pPr>
              <w:pStyle w:val="NoSpacing"/>
              <w:jc w:val="both"/>
            </w:pPr>
            <w:r w:rsidRPr="00BC052E">
              <w:t>Repeal and re-enact section 368.</w:t>
            </w:r>
          </w:p>
          <w:p w:rsidR="006702D3" w:rsidRPr="00BC052E" w:rsidRDefault="006702D3" w:rsidP="00BC052E">
            <w:pPr>
              <w:pStyle w:val="NoSpacing"/>
              <w:jc w:val="both"/>
            </w:pPr>
          </w:p>
          <w:p w:rsidR="006702D3" w:rsidRPr="00BC052E" w:rsidRDefault="006702D3" w:rsidP="00BC052E">
            <w:pPr>
              <w:pStyle w:val="NoSpacing"/>
              <w:jc w:val="both"/>
            </w:pPr>
            <w:r w:rsidRPr="00BC052E">
              <w:t>New section 368(1)(e) and (f) require a foreign company to</w:t>
            </w:r>
            <w:r w:rsidR="00B8527C">
              <w:t>:</w:t>
            </w:r>
          </w:p>
          <w:p w:rsidR="006702D3" w:rsidRPr="00BC052E" w:rsidRDefault="006702D3" w:rsidP="00B8527C">
            <w:pPr>
              <w:pStyle w:val="NoSpacing"/>
              <w:numPr>
                <w:ilvl w:val="0"/>
                <w:numId w:val="60"/>
              </w:numPr>
              <w:jc w:val="both"/>
              <w:rPr>
                <w:rFonts w:eastAsiaTheme="majorEastAsia"/>
                <w:bCs/>
                <w:strike/>
              </w:rPr>
            </w:pPr>
            <w:r w:rsidRPr="00BC052E">
              <w:t>appoint at least one authorised representative instead of two;</w:t>
            </w:r>
          </w:p>
          <w:p w:rsidR="006702D3" w:rsidRPr="00BC052E" w:rsidRDefault="006702D3" w:rsidP="00B8527C">
            <w:pPr>
              <w:pStyle w:val="NoSpacing"/>
              <w:numPr>
                <w:ilvl w:val="0"/>
                <w:numId w:val="60"/>
              </w:numPr>
              <w:jc w:val="both"/>
              <w:rPr>
                <w:rFonts w:eastAsiaTheme="majorEastAsia"/>
                <w:bCs/>
              </w:rPr>
            </w:pPr>
            <w:r w:rsidRPr="00BC052E">
              <w:rPr>
                <w:bCs/>
              </w:rPr>
              <w:t>lodge the particulars of the appointed authorised representative</w:t>
            </w:r>
            <w:r w:rsidRPr="00BC052E">
              <w:t xml:space="preserve">. </w:t>
            </w:r>
            <w:r w:rsidRPr="00BC052E">
              <w:rPr>
                <w:bCs/>
              </w:rPr>
              <w:t>The consent of the authorised representative must be clearly indicated and documented.</w:t>
            </w:r>
          </w:p>
          <w:p w:rsidR="006702D3" w:rsidRPr="00BC052E" w:rsidRDefault="006702D3" w:rsidP="00BC052E">
            <w:pPr>
              <w:pStyle w:val="NoSpacing"/>
              <w:jc w:val="both"/>
              <w:rPr>
                <w:rFonts w:eastAsiaTheme="majorEastAsia"/>
                <w:bCs/>
              </w:rPr>
            </w:pPr>
          </w:p>
          <w:p w:rsidR="006702D3" w:rsidRPr="00BC052E" w:rsidRDefault="006702D3" w:rsidP="00BC052E">
            <w:pPr>
              <w:pStyle w:val="NoSpacing"/>
              <w:jc w:val="both"/>
              <w:rPr>
                <w:bCs/>
              </w:rPr>
            </w:pPr>
            <w:r w:rsidRPr="00BC052E">
              <w:rPr>
                <w:bCs/>
              </w:rPr>
              <w:t>Introduce section 368(2) to require a foreign company to make available for inspection the evidence of appointment of the authorised representative at their registered offices in Singapore.</w:t>
            </w:r>
          </w:p>
          <w:p w:rsidR="006702D3" w:rsidRPr="00BC052E" w:rsidRDefault="006702D3" w:rsidP="00BC052E">
            <w:pPr>
              <w:pStyle w:val="NoSpacing"/>
              <w:jc w:val="both"/>
            </w:pPr>
          </w:p>
          <w:p w:rsidR="006702D3" w:rsidRDefault="006702D3" w:rsidP="00BC052E">
            <w:pPr>
              <w:pStyle w:val="NoSpacing"/>
              <w:jc w:val="both"/>
            </w:pPr>
            <w:r w:rsidRPr="00BC052E">
              <w:t>Amend section 370 to require a foreign company to appoint a replacement before the existing sole authorised representative is permitted to resign and that a replacement must be appointed within 21 days of the death of the sole authorised representative.</w:t>
            </w:r>
          </w:p>
          <w:p w:rsidR="00473D93" w:rsidRPr="00BC052E" w:rsidRDefault="00473D93" w:rsidP="00BC052E">
            <w:pPr>
              <w:pStyle w:val="NoSpacing"/>
              <w:jc w:val="both"/>
            </w:pPr>
          </w:p>
        </w:tc>
        <w:tc>
          <w:tcPr>
            <w:tcW w:w="3119" w:type="dxa"/>
            <w:shd w:val="clear" w:color="auto" w:fill="auto"/>
          </w:tcPr>
          <w:p w:rsidR="006702D3" w:rsidRPr="00BC052E" w:rsidRDefault="006702D3" w:rsidP="00BC052E">
            <w:pPr>
              <w:pStyle w:val="NoSpacing"/>
              <w:jc w:val="both"/>
            </w:pPr>
            <w:r w:rsidRPr="00BC052E">
              <w:t>Simplify compliance requirements for foreign companies to register with ACRA.</w:t>
            </w:r>
          </w:p>
          <w:p w:rsidR="006702D3" w:rsidRPr="00BC052E" w:rsidRDefault="006702D3" w:rsidP="00BC052E">
            <w:pPr>
              <w:pStyle w:val="NoSpacing"/>
              <w:jc w:val="both"/>
            </w:pPr>
          </w:p>
          <w:p w:rsidR="006702D3" w:rsidRPr="00BC052E" w:rsidRDefault="006702D3" w:rsidP="00BC052E">
            <w:pPr>
              <w:pStyle w:val="NoSpacing"/>
              <w:jc w:val="both"/>
            </w:pPr>
            <w:r w:rsidRPr="00BC052E">
              <w:t>Align the requirements with other jurisdictions:</w:t>
            </w:r>
          </w:p>
          <w:p w:rsidR="006702D3" w:rsidRPr="00BC052E" w:rsidRDefault="006702D3" w:rsidP="00B8527C">
            <w:pPr>
              <w:pStyle w:val="NoSpacing"/>
              <w:numPr>
                <w:ilvl w:val="0"/>
                <w:numId w:val="61"/>
              </w:numPr>
              <w:jc w:val="both"/>
              <w:rPr>
                <w:rFonts w:eastAsiaTheme="majorEastAsia"/>
                <w:bCs/>
              </w:rPr>
            </w:pPr>
            <w:r w:rsidRPr="00BC052E">
              <w:t>UK, Australia and New Zealand (NZ) require foreign companies to appoint at least one agent;</w:t>
            </w:r>
          </w:p>
          <w:p w:rsidR="006702D3" w:rsidRPr="00BC052E" w:rsidRDefault="006702D3" w:rsidP="00B8527C">
            <w:pPr>
              <w:pStyle w:val="NoSpacing"/>
              <w:numPr>
                <w:ilvl w:val="0"/>
                <w:numId w:val="61"/>
              </w:numPr>
              <w:jc w:val="both"/>
              <w:rPr>
                <w:rFonts w:eastAsiaTheme="majorEastAsia"/>
                <w:bCs/>
              </w:rPr>
            </w:pPr>
            <w:r w:rsidRPr="00BC052E">
              <w:t>UK and HK do not require foreign companies to lodge evidence of the appointment of agents.</w:t>
            </w:r>
          </w:p>
        </w:tc>
      </w:tr>
      <w:tr w:rsidR="006702D3" w:rsidRPr="003E6052" w:rsidTr="00C42E01">
        <w:tc>
          <w:tcPr>
            <w:tcW w:w="13893" w:type="dxa"/>
            <w:gridSpan w:val="5"/>
            <w:shd w:val="clear" w:color="auto" w:fill="FBD4B4" w:themeFill="accent6" w:themeFillTint="66"/>
          </w:tcPr>
          <w:p w:rsidR="006702D3" w:rsidRPr="00DC4606" w:rsidRDefault="006702D3" w:rsidP="00496839">
            <w:pPr>
              <w:jc w:val="both"/>
              <w:rPr>
                <w:szCs w:val="26"/>
                <w:u w:val="single"/>
              </w:rPr>
            </w:pPr>
            <w:r w:rsidRPr="00DC4606">
              <w:rPr>
                <w:b/>
                <w:szCs w:val="26"/>
              </w:rPr>
              <w:lastRenderedPageBreak/>
              <w:t>Particulars required to be lodged upon registration</w:t>
            </w:r>
          </w:p>
        </w:tc>
      </w:tr>
      <w:tr w:rsidR="006702D3" w:rsidRPr="003E6052" w:rsidTr="00E461EB">
        <w:tc>
          <w:tcPr>
            <w:tcW w:w="1126" w:type="dxa"/>
          </w:tcPr>
          <w:p w:rsidR="006702D3" w:rsidRDefault="006702D3">
            <w:pPr>
              <w:jc w:val="center"/>
              <w:rPr>
                <w:bCs/>
                <w:sz w:val="28"/>
                <w:szCs w:val="28"/>
                <w:highlight w:val="yellow"/>
              </w:rPr>
            </w:pPr>
            <w:r>
              <w:rPr>
                <w:bCs/>
                <w:sz w:val="28"/>
                <w:szCs w:val="28"/>
              </w:rPr>
              <w:t>40</w:t>
            </w:r>
          </w:p>
        </w:tc>
        <w:tc>
          <w:tcPr>
            <w:tcW w:w="5253" w:type="dxa"/>
            <w:gridSpan w:val="2"/>
          </w:tcPr>
          <w:p w:rsidR="006702D3" w:rsidRPr="00DC4606" w:rsidRDefault="006702D3" w:rsidP="00043AC4">
            <w:pPr>
              <w:jc w:val="both"/>
              <w:rPr>
                <w:bCs/>
                <w:szCs w:val="26"/>
              </w:rPr>
            </w:pPr>
            <w:r w:rsidRPr="00DC4606">
              <w:rPr>
                <w:bCs/>
                <w:szCs w:val="26"/>
              </w:rPr>
              <w:t xml:space="preserve">Section 368(1) specifies that every foreign company shall, before it establishes a place of business or commences to carry on business in Singapore, lodge with the Registrar for registration: </w:t>
            </w:r>
          </w:p>
          <w:p w:rsidR="006702D3" w:rsidRPr="00DC4606" w:rsidRDefault="006702D3" w:rsidP="00924C35">
            <w:pPr>
              <w:pStyle w:val="ListParagraph"/>
              <w:numPr>
                <w:ilvl w:val="0"/>
                <w:numId w:val="10"/>
              </w:numPr>
              <w:tabs>
                <w:tab w:val="left" w:pos="601"/>
              </w:tabs>
              <w:ind w:left="601" w:hanging="567"/>
              <w:jc w:val="both"/>
              <w:rPr>
                <w:bCs/>
                <w:szCs w:val="26"/>
              </w:rPr>
            </w:pPr>
            <w:r w:rsidRPr="00DC4606">
              <w:rPr>
                <w:bCs/>
                <w:szCs w:val="26"/>
              </w:rPr>
              <w:t>a certified copy of the certificate of its incorporation or registration in its place of incorporation or origin;</w:t>
            </w:r>
          </w:p>
          <w:p w:rsidR="006702D3" w:rsidRPr="00DC4606" w:rsidRDefault="006702D3" w:rsidP="00924C35">
            <w:pPr>
              <w:pStyle w:val="ListParagraph"/>
              <w:numPr>
                <w:ilvl w:val="0"/>
                <w:numId w:val="10"/>
              </w:numPr>
              <w:tabs>
                <w:tab w:val="left" w:pos="601"/>
              </w:tabs>
              <w:ind w:left="601" w:hanging="567"/>
              <w:jc w:val="both"/>
              <w:rPr>
                <w:bCs/>
                <w:szCs w:val="26"/>
              </w:rPr>
            </w:pPr>
            <w:r w:rsidRPr="00DC4606">
              <w:rPr>
                <w:bCs/>
                <w:szCs w:val="26"/>
              </w:rPr>
              <w:t>a certified copy of its constitutional document;</w:t>
            </w:r>
          </w:p>
          <w:p w:rsidR="006702D3" w:rsidRPr="00DC4606" w:rsidRDefault="006702D3" w:rsidP="00924C35">
            <w:pPr>
              <w:pStyle w:val="ListParagraph"/>
              <w:numPr>
                <w:ilvl w:val="0"/>
                <w:numId w:val="10"/>
              </w:numPr>
              <w:tabs>
                <w:tab w:val="left" w:pos="601"/>
              </w:tabs>
              <w:ind w:left="601" w:hanging="567"/>
              <w:jc w:val="both"/>
              <w:rPr>
                <w:bCs/>
                <w:szCs w:val="26"/>
              </w:rPr>
            </w:pPr>
            <w:r w:rsidRPr="00DC4606">
              <w:rPr>
                <w:bCs/>
                <w:szCs w:val="26"/>
              </w:rPr>
              <w:t>a list of its directors and their particulars;</w:t>
            </w:r>
          </w:p>
          <w:p w:rsidR="006702D3" w:rsidRPr="00DC4606" w:rsidRDefault="006702D3" w:rsidP="00924C35">
            <w:pPr>
              <w:pStyle w:val="ListParagraph"/>
              <w:numPr>
                <w:ilvl w:val="0"/>
                <w:numId w:val="10"/>
              </w:numPr>
              <w:tabs>
                <w:tab w:val="left" w:pos="601"/>
              </w:tabs>
              <w:ind w:left="601" w:hanging="567"/>
              <w:jc w:val="both"/>
              <w:rPr>
                <w:bCs/>
                <w:szCs w:val="26"/>
              </w:rPr>
            </w:pPr>
            <w:r w:rsidRPr="00DC4606">
              <w:rPr>
                <w:bCs/>
                <w:szCs w:val="26"/>
              </w:rPr>
              <w:t>where the list includes directors resident in Singapore who are members of the local board of directors, a memorandum duly executed by or on behalf of the foreign company stating the powers of the local directors;</w:t>
            </w:r>
          </w:p>
          <w:p w:rsidR="006702D3" w:rsidRPr="00DC4606" w:rsidRDefault="006702D3" w:rsidP="00924C35">
            <w:pPr>
              <w:pStyle w:val="ListParagraph"/>
              <w:numPr>
                <w:ilvl w:val="0"/>
                <w:numId w:val="10"/>
              </w:numPr>
              <w:tabs>
                <w:tab w:val="left" w:pos="601"/>
              </w:tabs>
              <w:ind w:left="601" w:hanging="567"/>
              <w:jc w:val="both"/>
              <w:rPr>
                <w:bCs/>
                <w:szCs w:val="26"/>
              </w:rPr>
            </w:pPr>
            <w:r w:rsidRPr="00DC4606">
              <w:rPr>
                <w:bCs/>
                <w:szCs w:val="26"/>
              </w:rPr>
              <w:t>a memorandum of appointment or power of attorney stating the names and addresses of the agents; and</w:t>
            </w:r>
          </w:p>
          <w:p w:rsidR="006702D3" w:rsidRPr="00DC4606" w:rsidRDefault="006702D3" w:rsidP="00924C35">
            <w:pPr>
              <w:pStyle w:val="ListParagraph"/>
              <w:numPr>
                <w:ilvl w:val="0"/>
                <w:numId w:val="10"/>
              </w:numPr>
              <w:tabs>
                <w:tab w:val="left" w:pos="601"/>
              </w:tabs>
              <w:ind w:left="601" w:hanging="567"/>
              <w:jc w:val="both"/>
              <w:rPr>
                <w:bCs/>
                <w:szCs w:val="26"/>
              </w:rPr>
            </w:pPr>
            <w:r w:rsidRPr="00DC4606">
              <w:rPr>
                <w:bCs/>
                <w:szCs w:val="26"/>
              </w:rPr>
              <w:t>notice of the situation of its registered office in Singapore, and information regarding the office’s accessibility.</w:t>
            </w:r>
          </w:p>
        </w:tc>
        <w:tc>
          <w:tcPr>
            <w:tcW w:w="4395" w:type="dxa"/>
            <w:shd w:val="clear" w:color="auto" w:fill="auto"/>
          </w:tcPr>
          <w:p w:rsidR="006702D3" w:rsidRDefault="006702D3" w:rsidP="007D2BC0">
            <w:pPr>
              <w:jc w:val="both"/>
              <w:rPr>
                <w:szCs w:val="26"/>
              </w:rPr>
            </w:pPr>
            <w:r>
              <w:rPr>
                <w:szCs w:val="26"/>
              </w:rPr>
              <w:t>R</w:t>
            </w:r>
            <w:r w:rsidR="00B75D6E">
              <w:rPr>
                <w:szCs w:val="26"/>
              </w:rPr>
              <w:t>epeal and re-enact section 368.</w:t>
            </w:r>
          </w:p>
          <w:p w:rsidR="006702D3" w:rsidRDefault="006702D3" w:rsidP="00043AC4">
            <w:pPr>
              <w:pStyle w:val="NoSpacing"/>
              <w:jc w:val="both"/>
              <w:rPr>
                <w:szCs w:val="26"/>
              </w:rPr>
            </w:pPr>
          </w:p>
          <w:p w:rsidR="006702D3" w:rsidRPr="00DC4606" w:rsidRDefault="006702D3" w:rsidP="00043AC4">
            <w:pPr>
              <w:pStyle w:val="NoSpacing"/>
              <w:jc w:val="both"/>
              <w:rPr>
                <w:szCs w:val="26"/>
              </w:rPr>
            </w:pPr>
            <w:r>
              <w:rPr>
                <w:szCs w:val="26"/>
              </w:rPr>
              <w:t>T</w:t>
            </w:r>
            <w:r w:rsidRPr="00DC4606">
              <w:rPr>
                <w:szCs w:val="26"/>
              </w:rPr>
              <w:t xml:space="preserve">he </w:t>
            </w:r>
            <w:r>
              <w:rPr>
                <w:szCs w:val="26"/>
              </w:rPr>
              <w:t>documents required to be lodged</w:t>
            </w:r>
            <w:r w:rsidRPr="00DC4606">
              <w:rPr>
                <w:szCs w:val="26"/>
              </w:rPr>
              <w:t xml:space="preserve"> </w:t>
            </w:r>
            <w:r>
              <w:rPr>
                <w:szCs w:val="26"/>
              </w:rPr>
              <w:t>under the new section 368(1) are</w:t>
            </w:r>
            <w:r w:rsidRPr="00DC4606">
              <w:rPr>
                <w:szCs w:val="26"/>
              </w:rPr>
              <w:t>:</w:t>
            </w:r>
          </w:p>
          <w:p w:rsidR="006702D3" w:rsidRDefault="006702D3" w:rsidP="00924C35">
            <w:pPr>
              <w:pStyle w:val="NoSpacing"/>
              <w:numPr>
                <w:ilvl w:val="0"/>
                <w:numId w:val="11"/>
              </w:numPr>
              <w:ind w:left="459" w:hanging="427"/>
              <w:jc w:val="both"/>
              <w:rPr>
                <w:szCs w:val="26"/>
              </w:rPr>
            </w:pPr>
            <w:r>
              <w:rPr>
                <w:szCs w:val="26"/>
              </w:rPr>
              <w:t>the name and address of the registered office of the foreign company in its place of incorporation or origin;</w:t>
            </w:r>
          </w:p>
          <w:p w:rsidR="006702D3" w:rsidRDefault="006702D3" w:rsidP="00924C35">
            <w:pPr>
              <w:pStyle w:val="NoSpacing"/>
              <w:numPr>
                <w:ilvl w:val="0"/>
                <w:numId w:val="11"/>
              </w:numPr>
              <w:ind w:left="459" w:hanging="427"/>
              <w:jc w:val="both"/>
              <w:rPr>
                <w:szCs w:val="26"/>
              </w:rPr>
            </w:pPr>
            <w:r w:rsidRPr="00DC4606">
              <w:rPr>
                <w:bCs/>
                <w:szCs w:val="26"/>
              </w:rPr>
              <w:t xml:space="preserve">a certified copy of the certificate of its incorporation or registration in its place of incorporation or </w:t>
            </w:r>
            <w:r>
              <w:rPr>
                <w:bCs/>
                <w:szCs w:val="26"/>
              </w:rPr>
              <w:t>formation;</w:t>
            </w:r>
          </w:p>
          <w:p w:rsidR="006702D3" w:rsidRDefault="006702D3" w:rsidP="002B64E1">
            <w:pPr>
              <w:pStyle w:val="NoSpacing"/>
              <w:numPr>
                <w:ilvl w:val="0"/>
                <w:numId w:val="11"/>
              </w:numPr>
              <w:ind w:left="459" w:hanging="427"/>
              <w:jc w:val="both"/>
              <w:rPr>
                <w:szCs w:val="26"/>
              </w:rPr>
            </w:pPr>
            <w:r>
              <w:rPr>
                <w:szCs w:val="26"/>
              </w:rPr>
              <w:t xml:space="preserve">a </w:t>
            </w:r>
            <w:r w:rsidRPr="00DC4606">
              <w:rPr>
                <w:szCs w:val="26"/>
              </w:rPr>
              <w:t xml:space="preserve">certified copy of its constitutional document </w:t>
            </w:r>
            <w:r w:rsidRPr="0099631E">
              <w:rPr>
                <w:szCs w:val="26"/>
              </w:rPr>
              <w:t>only if it is required to be registered or lodged in the place of incorporation</w:t>
            </w:r>
            <w:r>
              <w:rPr>
                <w:szCs w:val="26"/>
              </w:rPr>
              <w:t>;</w:t>
            </w:r>
          </w:p>
          <w:p w:rsidR="006702D3" w:rsidRPr="002B64E1" w:rsidRDefault="006702D3" w:rsidP="002B64E1">
            <w:pPr>
              <w:pStyle w:val="NoSpacing"/>
              <w:numPr>
                <w:ilvl w:val="0"/>
                <w:numId w:val="11"/>
              </w:numPr>
              <w:ind w:left="459" w:hanging="427"/>
              <w:jc w:val="both"/>
              <w:rPr>
                <w:szCs w:val="26"/>
              </w:rPr>
            </w:pPr>
            <w:r w:rsidRPr="002B64E1">
              <w:rPr>
                <w:bCs/>
                <w:szCs w:val="26"/>
              </w:rPr>
              <w:t>a list of its directors and their particulars;</w:t>
            </w:r>
          </w:p>
          <w:p w:rsidR="006702D3" w:rsidRDefault="006702D3" w:rsidP="00924C35">
            <w:pPr>
              <w:pStyle w:val="NoSpacing"/>
              <w:numPr>
                <w:ilvl w:val="0"/>
                <w:numId w:val="11"/>
              </w:numPr>
              <w:ind w:left="459" w:hanging="427"/>
              <w:jc w:val="both"/>
              <w:rPr>
                <w:szCs w:val="26"/>
              </w:rPr>
            </w:pPr>
            <w:r w:rsidRPr="00DC4606">
              <w:rPr>
                <w:szCs w:val="26"/>
              </w:rPr>
              <w:t xml:space="preserve">the name, address, nationality and identification particulars of </w:t>
            </w:r>
            <w:r>
              <w:rPr>
                <w:szCs w:val="26"/>
              </w:rPr>
              <w:t xml:space="preserve">and indication of consent by </w:t>
            </w:r>
            <w:r w:rsidRPr="00DC4606">
              <w:rPr>
                <w:szCs w:val="26"/>
              </w:rPr>
              <w:t xml:space="preserve">the foreign company’s </w:t>
            </w:r>
            <w:r>
              <w:rPr>
                <w:szCs w:val="26"/>
              </w:rPr>
              <w:t>authorised representative(s)</w:t>
            </w:r>
          </w:p>
          <w:p w:rsidR="006702D3" w:rsidRPr="00DC4606" w:rsidRDefault="006702D3" w:rsidP="00924C35">
            <w:pPr>
              <w:pStyle w:val="NoSpacing"/>
              <w:numPr>
                <w:ilvl w:val="0"/>
                <w:numId w:val="11"/>
              </w:numPr>
              <w:ind w:left="459" w:hanging="427"/>
              <w:jc w:val="both"/>
              <w:rPr>
                <w:szCs w:val="26"/>
              </w:rPr>
            </w:pPr>
            <w:r w:rsidRPr="002B64E1">
              <w:rPr>
                <w:szCs w:val="26"/>
              </w:rPr>
              <w:t>notice of the situation of its registered office in Singapore, and information regarding the office’s accessibility</w:t>
            </w:r>
            <w:r>
              <w:rPr>
                <w:szCs w:val="26"/>
              </w:rPr>
              <w:t>;</w:t>
            </w:r>
          </w:p>
          <w:p w:rsidR="006702D3" w:rsidRPr="00DC4606" w:rsidRDefault="006702D3" w:rsidP="00924C35">
            <w:pPr>
              <w:pStyle w:val="NoSpacing"/>
              <w:numPr>
                <w:ilvl w:val="0"/>
                <w:numId w:val="11"/>
              </w:numPr>
              <w:ind w:left="459" w:hanging="427"/>
              <w:jc w:val="both"/>
              <w:rPr>
                <w:szCs w:val="26"/>
              </w:rPr>
            </w:pPr>
            <w:r w:rsidRPr="00DC4606">
              <w:rPr>
                <w:szCs w:val="26"/>
              </w:rPr>
              <w:t>additional information</w:t>
            </w:r>
            <w:r>
              <w:rPr>
                <w:szCs w:val="26"/>
              </w:rPr>
              <w:t xml:space="preserve"> such as:</w:t>
            </w:r>
          </w:p>
          <w:p w:rsidR="006702D3" w:rsidRPr="00DC4606" w:rsidRDefault="006702D3" w:rsidP="00924C35">
            <w:pPr>
              <w:pStyle w:val="NoSpacing"/>
              <w:numPr>
                <w:ilvl w:val="0"/>
                <w:numId w:val="17"/>
              </w:numPr>
              <w:ind w:left="459" w:hanging="427"/>
              <w:jc w:val="both"/>
              <w:rPr>
                <w:szCs w:val="26"/>
              </w:rPr>
            </w:pPr>
            <w:r w:rsidRPr="00DC4606">
              <w:rPr>
                <w:szCs w:val="26"/>
              </w:rPr>
              <w:lastRenderedPageBreak/>
              <w:t>registration number indicated in the certificate of incorporation or registration, or where none is indicated, the number issued upon registration or incorporation by the authority equivalent to the Registrar in its place o</w:t>
            </w:r>
            <w:r>
              <w:rPr>
                <w:szCs w:val="26"/>
              </w:rPr>
              <w:t>f registration or incorporation</w:t>
            </w:r>
          </w:p>
          <w:p w:rsidR="006702D3" w:rsidRPr="00DC4606" w:rsidRDefault="006702D3" w:rsidP="00924C35">
            <w:pPr>
              <w:pStyle w:val="NoSpacing"/>
              <w:numPr>
                <w:ilvl w:val="0"/>
                <w:numId w:val="17"/>
              </w:numPr>
              <w:ind w:left="459" w:hanging="427"/>
              <w:jc w:val="both"/>
              <w:rPr>
                <w:szCs w:val="26"/>
              </w:rPr>
            </w:pPr>
            <w:r w:rsidRPr="00DC4606">
              <w:rPr>
                <w:szCs w:val="26"/>
              </w:rPr>
              <w:t>its legal form</w:t>
            </w:r>
          </w:p>
          <w:p w:rsidR="006702D3" w:rsidRPr="00DC4606" w:rsidRDefault="006702D3" w:rsidP="00924C35">
            <w:pPr>
              <w:pStyle w:val="NoSpacing"/>
              <w:numPr>
                <w:ilvl w:val="0"/>
                <w:numId w:val="17"/>
              </w:numPr>
              <w:ind w:left="459" w:hanging="427"/>
              <w:jc w:val="both"/>
              <w:rPr>
                <w:szCs w:val="26"/>
              </w:rPr>
            </w:pPr>
            <w:r>
              <w:rPr>
                <w:szCs w:val="26"/>
              </w:rPr>
              <w:t>description</w:t>
            </w:r>
            <w:r w:rsidRPr="00DC4606">
              <w:rPr>
                <w:szCs w:val="26"/>
              </w:rPr>
              <w:t xml:space="preserve"> of </w:t>
            </w:r>
            <w:r>
              <w:rPr>
                <w:szCs w:val="26"/>
              </w:rPr>
              <w:t xml:space="preserve">the </w:t>
            </w:r>
            <w:r w:rsidR="0022182D">
              <w:rPr>
                <w:szCs w:val="26"/>
              </w:rPr>
              <w:t>business</w:t>
            </w:r>
          </w:p>
          <w:p w:rsidR="006702D3" w:rsidRPr="00AD08A7" w:rsidRDefault="006702D3" w:rsidP="00924C35">
            <w:pPr>
              <w:pStyle w:val="NoSpacing"/>
              <w:numPr>
                <w:ilvl w:val="0"/>
                <w:numId w:val="17"/>
              </w:numPr>
              <w:ind w:left="459" w:hanging="427"/>
              <w:jc w:val="both"/>
              <w:rPr>
                <w:szCs w:val="26"/>
              </w:rPr>
            </w:pPr>
            <w:r w:rsidRPr="00DC4606">
              <w:rPr>
                <w:szCs w:val="26"/>
              </w:rPr>
              <w:t>latest copy of its head office’s financial statement if it is required by the law of the place of incorporation or origin to prepare such statements.</w:t>
            </w:r>
          </w:p>
        </w:tc>
        <w:tc>
          <w:tcPr>
            <w:tcW w:w="3119" w:type="dxa"/>
            <w:shd w:val="clear" w:color="auto" w:fill="auto"/>
          </w:tcPr>
          <w:p w:rsidR="006702D3" w:rsidRPr="000C6B4F" w:rsidRDefault="006702D3" w:rsidP="000337E3">
            <w:pPr>
              <w:pStyle w:val="NoSpacing"/>
              <w:tabs>
                <w:tab w:val="left" w:pos="1166"/>
              </w:tabs>
              <w:jc w:val="both"/>
              <w:rPr>
                <w:szCs w:val="26"/>
                <w:highlight w:val="yellow"/>
              </w:rPr>
            </w:pPr>
            <w:r>
              <w:rPr>
                <w:szCs w:val="26"/>
              </w:rPr>
              <w:lastRenderedPageBreak/>
              <w:t>U</w:t>
            </w:r>
            <w:r w:rsidRPr="00DC4606">
              <w:rPr>
                <w:szCs w:val="26"/>
              </w:rPr>
              <w:t xml:space="preserve">pdate information to be </w:t>
            </w:r>
            <w:r>
              <w:rPr>
                <w:szCs w:val="26"/>
              </w:rPr>
              <w:t xml:space="preserve">lodged with the Registrar to ensure relevance to </w:t>
            </w:r>
            <w:r w:rsidRPr="00DC4606">
              <w:rPr>
                <w:szCs w:val="26"/>
              </w:rPr>
              <w:t>persons who transact with the company in Singapore.</w:t>
            </w:r>
          </w:p>
        </w:tc>
      </w:tr>
      <w:tr w:rsidR="006702D3" w:rsidRPr="003E6052" w:rsidTr="00C42E01">
        <w:tc>
          <w:tcPr>
            <w:tcW w:w="13893" w:type="dxa"/>
            <w:gridSpan w:val="5"/>
            <w:shd w:val="clear" w:color="auto" w:fill="FBD4B4" w:themeFill="accent6" w:themeFillTint="66"/>
          </w:tcPr>
          <w:p w:rsidR="006702D3" w:rsidRPr="00DE7E40" w:rsidRDefault="006702D3" w:rsidP="00C9004C">
            <w:pPr>
              <w:pStyle w:val="NoSpacing"/>
              <w:jc w:val="both"/>
              <w:rPr>
                <w:b/>
                <w:szCs w:val="26"/>
              </w:rPr>
            </w:pPr>
            <w:r>
              <w:rPr>
                <w:b/>
                <w:szCs w:val="26"/>
              </w:rPr>
              <w:lastRenderedPageBreak/>
              <w:t>Power to refuse registration of a foreign company in certain circumstances</w:t>
            </w:r>
          </w:p>
        </w:tc>
      </w:tr>
      <w:tr w:rsidR="006702D3" w:rsidRPr="003E6052" w:rsidTr="00E461EB">
        <w:tc>
          <w:tcPr>
            <w:tcW w:w="1126" w:type="dxa"/>
          </w:tcPr>
          <w:p w:rsidR="006702D3" w:rsidRPr="008F4106" w:rsidRDefault="006702D3">
            <w:pPr>
              <w:jc w:val="center"/>
              <w:rPr>
                <w:bCs/>
                <w:szCs w:val="26"/>
                <w:highlight w:val="yellow"/>
              </w:rPr>
            </w:pPr>
            <w:r w:rsidRPr="008F4106">
              <w:rPr>
                <w:bCs/>
                <w:szCs w:val="26"/>
              </w:rPr>
              <w:t>41</w:t>
            </w:r>
          </w:p>
        </w:tc>
        <w:tc>
          <w:tcPr>
            <w:tcW w:w="5253" w:type="dxa"/>
            <w:gridSpan w:val="2"/>
          </w:tcPr>
          <w:p w:rsidR="006702D3" w:rsidRDefault="006702D3">
            <w:pPr>
              <w:pStyle w:val="ListParagraph"/>
              <w:ind w:left="0"/>
              <w:jc w:val="both"/>
              <w:rPr>
                <w:color w:val="000000"/>
                <w:szCs w:val="26"/>
                <w:lang w:eastAsia="en-GB"/>
              </w:rPr>
            </w:pPr>
            <w:r w:rsidRPr="00025334">
              <w:rPr>
                <w:color w:val="000000"/>
                <w:szCs w:val="26"/>
                <w:lang w:eastAsia="en-GB"/>
              </w:rPr>
              <w:t xml:space="preserve">Section 369(1) gives the Registrar the power to refuse registration of a foreign company if, </w:t>
            </w:r>
            <w:r>
              <w:rPr>
                <w:color w:val="000000"/>
                <w:szCs w:val="26"/>
                <w:lang w:eastAsia="en-GB"/>
              </w:rPr>
              <w:t>among other things</w:t>
            </w:r>
            <w:r w:rsidRPr="00025334">
              <w:rPr>
                <w:color w:val="000000"/>
                <w:szCs w:val="26"/>
                <w:lang w:eastAsia="en-GB"/>
              </w:rPr>
              <w:t xml:space="preserve">, the foreign company </w:t>
            </w:r>
            <w:r>
              <w:rPr>
                <w:color w:val="000000"/>
                <w:szCs w:val="26"/>
                <w:lang w:eastAsia="en-GB"/>
              </w:rPr>
              <w:t>“</w:t>
            </w:r>
            <w:r w:rsidRPr="00F5495E">
              <w:rPr>
                <w:color w:val="000000"/>
                <w:szCs w:val="26"/>
                <w:lang w:eastAsia="en-GB"/>
              </w:rPr>
              <w:t>is acting or likely to act against the national security or interest</w:t>
            </w:r>
            <w:r>
              <w:rPr>
                <w:color w:val="000000"/>
                <w:szCs w:val="26"/>
                <w:lang w:eastAsia="en-GB"/>
              </w:rPr>
              <w:t>”.</w:t>
            </w:r>
          </w:p>
        </w:tc>
        <w:tc>
          <w:tcPr>
            <w:tcW w:w="4395" w:type="dxa"/>
            <w:shd w:val="clear" w:color="auto" w:fill="auto"/>
          </w:tcPr>
          <w:p w:rsidR="006702D3" w:rsidRDefault="006702D3">
            <w:pPr>
              <w:pStyle w:val="ExpSectionText1"/>
              <w:spacing w:before="0"/>
              <w:ind w:firstLine="0"/>
              <w:rPr>
                <w:sz w:val="26"/>
                <w:szCs w:val="26"/>
                <w:lang w:val="en-GB"/>
              </w:rPr>
            </w:pPr>
            <w:r>
              <w:rPr>
                <w:sz w:val="26"/>
                <w:szCs w:val="26"/>
                <w:lang w:val="en-GB"/>
              </w:rPr>
              <w:t>A</w:t>
            </w:r>
            <w:r w:rsidRPr="003F5FB2">
              <w:rPr>
                <w:sz w:val="26"/>
                <w:szCs w:val="26"/>
                <w:lang w:val="en-GB"/>
              </w:rPr>
              <w:t xml:space="preserve">mend </w:t>
            </w:r>
            <w:r>
              <w:rPr>
                <w:sz w:val="26"/>
                <w:szCs w:val="26"/>
                <w:lang w:val="en-GB"/>
              </w:rPr>
              <w:t xml:space="preserve">section 369(1) </w:t>
            </w:r>
            <w:r w:rsidRPr="003F5FB2">
              <w:rPr>
                <w:sz w:val="26"/>
                <w:szCs w:val="26"/>
                <w:lang w:val="en-GB"/>
              </w:rPr>
              <w:t xml:space="preserve">so that Registrar may refuse to </w:t>
            </w:r>
            <w:r>
              <w:rPr>
                <w:sz w:val="26"/>
                <w:szCs w:val="26"/>
                <w:lang w:val="en-GB"/>
              </w:rPr>
              <w:t xml:space="preserve">register a foreign company </w:t>
            </w:r>
            <w:r w:rsidRPr="003F5FB2">
              <w:rPr>
                <w:sz w:val="26"/>
                <w:szCs w:val="26"/>
                <w:lang w:val="en-GB"/>
              </w:rPr>
              <w:t xml:space="preserve">if it would be </w:t>
            </w:r>
            <w:r>
              <w:rPr>
                <w:sz w:val="26"/>
                <w:szCs w:val="26"/>
                <w:lang w:val="en-GB"/>
              </w:rPr>
              <w:t>“</w:t>
            </w:r>
            <w:r w:rsidRPr="00F5495E">
              <w:rPr>
                <w:sz w:val="26"/>
                <w:szCs w:val="26"/>
                <w:lang w:val="en-GB"/>
              </w:rPr>
              <w:t>contrary to the national security or interest</w:t>
            </w:r>
            <w:r>
              <w:rPr>
                <w:sz w:val="26"/>
                <w:szCs w:val="26"/>
                <w:lang w:val="en-GB"/>
              </w:rPr>
              <w:t>”.</w:t>
            </w:r>
          </w:p>
        </w:tc>
        <w:tc>
          <w:tcPr>
            <w:tcW w:w="3119" w:type="dxa"/>
            <w:shd w:val="clear" w:color="auto" w:fill="auto"/>
          </w:tcPr>
          <w:p w:rsidR="006702D3" w:rsidRPr="00255FAE" w:rsidRDefault="006702D3" w:rsidP="00AD7E69">
            <w:pPr>
              <w:pStyle w:val="NoSpacing"/>
              <w:jc w:val="both"/>
              <w:rPr>
                <w:szCs w:val="26"/>
                <w:highlight w:val="yellow"/>
              </w:rPr>
            </w:pPr>
            <w:r>
              <w:rPr>
                <w:szCs w:val="26"/>
              </w:rPr>
              <w:t>For consistency</w:t>
            </w:r>
            <w:r w:rsidRPr="00C7678C">
              <w:rPr>
                <w:szCs w:val="26"/>
              </w:rPr>
              <w:t xml:space="preserve"> with </w:t>
            </w:r>
            <w:r>
              <w:rPr>
                <w:szCs w:val="26"/>
              </w:rPr>
              <w:t xml:space="preserve">wordings used in </w:t>
            </w:r>
            <w:r w:rsidRPr="00C7678C">
              <w:rPr>
                <w:szCs w:val="26"/>
              </w:rPr>
              <w:t>section 20(2) of the CA</w:t>
            </w:r>
            <w:r>
              <w:rPr>
                <w:szCs w:val="26"/>
              </w:rPr>
              <w:t>,</w:t>
            </w:r>
            <w:r w:rsidRPr="00C7678C">
              <w:rPr>
                <w:szCs w:val="26"/>
              </w:rPr>
              <w:t xml:space="preserve"> which is more broadly worded.</w:t>
            </w:r>
          </w:p>
        </w:tc>
      </w:tr>
      <w:tr w:rsidR="006702D3" w:rsidRPr="003E6052" w:rsidTr="00C42E01">
        <w:tc>
          <w:tcPr>
            <w:tcW w:w="13893" w:type="dxa"/>
            <w:gridSpan w:val="5"/>
            <w:shd w:val="clear" w:color="auto" w:fill="FBD4B4" w:themeFill="accent6" w:themeFillTint="66"/>
          </w:tcPr>
          <w:p w:rsidR="006702D3" w:rsidRPr="00043AC4" w:rsidRDefault="006702D3" w:rsidP="00043AC4">
            <w:pPr>
              <w:pStyle w:val="NoSpacing"/>
              <w:jc w:val="both"/>
              <w:rPr>
                <w:b/>
                <w:szCs w:val="26"/>
              </w:rPr>
            </w:pPr>
            <w:r w:rsidRPr="00043AC4">
              <w:rPr>
                <w:b/>
                <w:szCs w:val="26"/>
              </w:rPr>
              <w:t>Changes in filed documents</w:t>
            </w:r>
          </w:p>
        </w:tc>
      </w:tr>
      <w:tr w:rsidR="007F1CE0" w:rsidRPr="003E6052" w:rsidTr="00E461EB">
        <w:tc>
          <w:tcPr>
            <w:tcW w:w="1126" w:type="dxa"/>
            <w:vMerge w:val="restart"/>
          </w:tcPr>
          <w:p w:rsidR="007F1CE0" w:rsidRDefault="007F1CE0">
            <w:pPr>
              <w:jc w:val="center"/>
              <w:rPr>
                <w:szCs w:val="26"/>
              </w:rPr>
            </w:pPr>
            <w:r>
              <w:rPr>
                <w:szCs w:val="26"/>
              </w:rPr>
              <w:t>43</w:t>
            </w:r>
          </w:p>
        </w:tc>
        <w:tc>
          <w:tcPr>
            <w:tcW w:w="5253" w:type="dxa"/>
            <w:gridSpan w:val="2"/>
            <w:vMerge w:val="restart"/>
          </w:tcPr>
          <w:p w:rsidR="007F1CE0" w:rsidRDefault="007F1CE0" w:rsidP="00043AC4">
            <w:pPr>
              <w:jc w:val="both"/>
              <w:rPr>
                <w:bCs/>
                <w:szCs w:val="26"/>
              </w:rPr>
            </w:pPr>
            <w:r>
              <w:rPr>
                <w:bCs/>
                <w:szCs w:val="26"/>
              </w:rPr>
              <w:t>S</w:t>
            </w:r>
            <w:r w:rsidRPr="00043AC4">
              <w:rPr>
                <w:bCs/>
                <w:szCs w:val="26"/>
              </w:rPr>
              <w:t>ection 372(1)</w:t>
            </w:r>
            <w:r>
              <w:rPr>
                <w:bCs/>
                <w:szCs w:val="26"/>
              </w:rPr>
              <w:t>, (2) and (3) require</w:t>
            </w:r>
            <w:r w:rsidR="00264212">
              <w:rPr>
                <w:bCs/>
                <w:szCs w:val="26"/>
              </w:rPr>
              <w:t>s</w:t>
            </w:r>
            <w:r>
              <w:rPr>
                <w:bCs/>
                <w:szCs w:val="26"/>
              </w:rPr>
              <w:t xml:space="preserve"> </w:t>
            </w:r>
            <w:r w:rsidRPr="00043AC4">
              <w:rPr>
                <w:bCs/>
                <w:szCs w:val="26"/>
              </w:rPr>
              <w:t xml:space="preserve">a </w:t>
            </w:r>
            <w:r>
              <w:rPr>
                <w:bCs/>
                <w:szCs w:val="26"/>
              </w:rPr>
              <w:t xml:space="preserve">registered </w:t>
            </w:r>
            <w:r w:rsidRPr="00043AC4">
              <w:rPr>
                <w:bCs/>
                <w:szCs w:val="26"/>
              </w:rPr>
              <w:t xml:space="preserve">foreign company </w:t>
            </w:r>
            <w:r>
              <w:rPr>
                <w:bCs/>
                <w:szCs w:val="26"/>
              </w:rPr>
              <w:t xml:space="preserve">to </w:t>
            </w:r>
            <w:r w:rsidRPr="00043AC4">
              <w:rPr>
                <w:bCs/>
                <w:szCs w:val="26"/>
              </w:rPr>
              <w:t>lodge a return where there is any change or alteration made in certain specified information or documents which have</w:t>
            </w:r>
            <w:r>
              <w:rPr>
                <w:bCs/>
                <w:szCs w:val="26"/>
              </w:rPr>
              <w:t xml:space="preserve"> been lodged with the Registrar. Examples include:</w:t>
            </w:r>
          </w:p>
          <w:p w:rsidR="007F1CE0" w:rsidRDefault="007F1CE0">
            <w:pPr>
              <w:pStyle w:val="ListParagraph"/>
              <w:numPr>
                <w:ilvl w:val="0"/>
                <w:numId w:val="55"/>
              </w:numPr>
              <w:jc w:val="both"/>
              <w:rPr>
                <w:bCs/>
                <w:szCs w:val="26"/>
              </w:rPr>
            </w:pPr>
            <w:r>
              <w:rPr>
                <w:bCs/>
                <w:szCs w:val="26"/>
              </w:rPr>
              <w:t xml:space="preserve">changes in the directors of the foreign </w:t>
            </w:r>
            <w:r>
              <w:rPr>
                <w:bCs/>
                <w:szCs w:val="26"/>
              </w:rPr>
              <w:lastRenderedPageBreak/>
              <w:t>company;</w:t>
            </w:r>
          </w:p>
          <w:p w:rsidR="007F1CE0" w:rsidRDefault="007F1CE0">
            <w:pPr>
              <w:pStyle w:val="ListParagraph"/>
              <w:numPr>
                <w:ilvl w:val="0"/>
                <w:numId w:val="55"/>
              </w:numPr>
              <w:jc w:val="both"/>
              <w:rPr>
                <w:bCs/>
                <w:szCs w:val="26"/>
              </w:rPr>
            </w:pPr>
            <w:r>
              <w:rPr>
                <w:bCs/>
                <w:szCs w:val="26"/>
              </w:rPr>
              <w:t>changes in the agents of the foreign company;</w:t>
            </w:r>
          </w:p>
          <w:p w:rsidR="007F1CE0" w:rsidRDefault="007F1CE0">
            <w:pPr>
              <w:pStyle w:val="ListParagraph"/>
              <w:numPr>
                <w:ilvl w:val="0"/>
                <w:numId w:val="55"/>
              </w:numPr>
              <w:jc w:val="both"/>
              <w:rPr>
                <w:bCs/>
                <w:szCs w:val="26"/>
              </w:rPr>
            </w:pPr>
            <w:r>
              <w:rPr>
                <w:bCs/>
                <w:szCs w:val="26"/>
              </w:rPr>
              <w:t>changes in the powers of any directors resident in Singapore who are members of the local board of directors of the foreign company;</w:t>
            </w:r>
            <w:r w:rsidRPr="00372985">
              <w:rPr>
                <w:bCs/>
                <w:szCs w:val="26"/>
              </w:rPr>
              <w:t xml:space="preserve"> </w:t>
            </w:r>
          </w:p>
          <w:p w:rsidR="007F1CE0" w:rsidRDefault="007F1CE0">
            <w:pPr>
              <w:pStyle w:val="ListParagraph"/>
              <w:numPr>
                <w:ilvl w:val="0"/>
                <w:numId w:val="55"/>
              </w:numPr>
              <w:jc w:val="both"/>
              <w:rPr>
                <w:bCs/>
                <w:szCs w:val="26"/>
              </w:rPr>
            </w:pPr>
            <w:r w:rsidRPr="00372985">
              <w:rPr>
                <w:bCs/>
                <w:szCs w:val="26"/>
              </w:rPr>
              <w:t>increase in the authorised share capital of the company</w:t>
            </w:r>
            <w:r>
              <w:rPr>
                <w:bCs/>
                <w:szCs w:val="26"/>
              </w:rPr>
              <w:t>;</w:t>
            </w:r>
          </w:p>
          <w:p w:rsidR="007F1CE0" w:rsidRDefault="007F1CE0">
            <w:pPr>
              <w:pStyle w:val="ListParagraph"/>
              <w:numPr>
                <w:ilvl w:val="0"/>
                <w:numId w:val="55"/>
              </w:numPr>
              <w:jc w:val="both"/>
              <w:rPr>
                <w:bCs/>
                <w:szCs w:val="26"/>
              </w:rPr>
            </w:pPr>
            <w:r w:rsidRPr="00071295">
              <w:rPr>
                <w:bCs/>
                <w:szCs w:val="26"/>
              </w:rPr>
              <w:t>chang</w:t>
            </w:r>
            <w:r>
              <w:rPr>
                <w:bCs/>
                <w:szCs w:val="26"/>
              </w:rPr>
              <w:t>es to the number of its members (for foreign company not having share capital).</w:t>
            </w:r>
          </w:p>
        </w:tc>
        <w:tc>
          <w:tcPr>
            <w:tcW w:w="4395" w:type="dxa"/>
            <w:shd w:val="clear" w:color="auto" w:fill="auto"/>
          </w:tcPr>
          <w:p w:rsidR="007F1CE0" w:rsidRPr="00473D93" w:rsidRDefault="007F1CE0" w:rsidP="008609EC">
            <w:pPr>
              <w:pStyle w:val="NoSpacing"/>
              <w:jc w:val="both"/>
              <w:rPr>
                <w:szCs w:val="26"/>
              </w:rPr>
            </w:pPr>
            <w:r w:rsidRPr="00473D93">
              <w:rPr>
                <w:szCs w:val="26"/>
              </w:rPr>
              <w:lastRenderedPageBreak/>
              <w:t>Amend section 372(1) to:</w:t>
            </w:r>
          </w:p>
          <w:p w:rsidR="007F1CE0" w:rsidRPr="00473D93" w:rsidRDefault="007F1CE0" w:rsidP="000720B8">
            <w:pPr>
              <w:pStyle w:val="NoSpacing"/>
              <w:numPr>
                <w:ilvl w:val="0"/>
                <w:numId w:val="20"/>
              </w:numPr>
              <w:tabs>
                <w:tab w:val="left" w:pos="695"/>
              </w:tabs>
              <w:jc w:val="both"/>
              <w:rPr>
                <w:szCs w:val="26"/>
              </w:rPr>
            </w:pPr>
            <w:r w:rsidRPr="00473D93">
              <w:rPr>
                <w:szCs w:val="26"/>
              </w:rPr>
              <w:t>require a foreign company to inform the Registrar if there are any changes to the registered particulars of the directors and authorised representatives;</w:t>
            </w:r>
          </w:p>
          <w:p w:rsidR="007F1CE0" w:rsidRPr="00473D93" w:rsidRDefault="007F1CE0">
            <w:pPr>
              <w:pStyle w:val="NoSpacing"/>
              <w:numPr>
                <w:ilvl w:val="0"/>
                <w:numId w:val="58"/>
              </w:numPr>
              <w:jc w:val="both"/>
              <w:rPr>
                <w:rFonts w:eastAsiaTheme="majorEastAsia"/>
                <w:bCs/>
                <w:szCs w:val="26"/>
              </w:rPr>
            </w:pPr>
            <w:r w:rsidRPr="00473D93">
              <w:rPr>
                <w:szCs w:val="26"/>
              </w:rPr>
              <w:t xml:space="preserve">remove the requirement to update </w:t>
            </w:r>
            <w:r w:rsidRPr="00473D93">
              <w:rPr>
                <w:szCs w:val="26"/>
              </w:rPr>
              <w:lastRenderedPageBreak/>
              <w:t>changes in the powers of any directors resident in Singapore who are members of the local board</w:t>
            </w:r>
            <w:r w:rsidR="00473D93" w:rsidRPr="00473D93">
              <w:rPr>
                <w:szCs w:val="26"/>
              </w:rPr>
              <w:t>;</w:t>
            </w:r>
          </w:p>
          <w:p w:rsidR="007F1CE0" w:rsidRPr="00473D93" w:rsidRDefault="007F1CE0" w:rsidP="00FA3325">
            <w:pPr>
              <w:pStyle w:val="NoSpacing"/>
              <w:numPr>
                <w:ilvl w:val="0"/>
                <w:numId w:val="20"/>
              </w:numPr>
              <w:tabs>
                <w:tab w:val="left" w:pos="695"/>
              </w:tabs>
              <w:jc w:val="both"/>
              <w:rPr>
                <w:szCs w:val="26"/>
              </w:rPr>
            </w:pPr>
            <w:r w:rsidRPr="00473D93">
              <w:rPr>
                <w:szCs w:val="26"/>
              </w:rPr>
              <w:t>require a foreign company to inform the Registrar if there are any changes to the description of the business or the legal form.</w:t>
            </w:r>
          </w:p>
        </w:tc>
        <w:tc>
          <w:tcPr>
            <w:tcW w:w="3119" w:type="dxa"/>
            <w:shd w:val="clear" w:color="auto" w:fill="auto"/>
          </w:tcPr>
          <w:p w:rsidR="007F1CE0" w:rsidRPr="00372985" w:rsidRDefault="007F1CE0" w:rsidP="008609EC">
            <w:pPr>
              <w:pStyle w:val="NoSpacing"/>
              <w:jc w:val="both"/>
              <w:rPr>
                <w:szCs w:val="26"/>
              </w:rPr>
            </w:pPr>
            <w:r w:rsidRPr="000720B8">
              <w:rPr>
                <w:szCs w:val="26"/>
              </w:rPr>
              <w:lastRenderedPageBreak/>
              <w:t xml:space="preserve">To clarify and update the </w:t>
            </w:r>
            <w:r>
              <w:rPr>
                <w:szCs w:val="26"/>
              </w:rPr>
              <w:t>list of changes or alterations to be notified.</w:t>
            </w:r>
          </w:p>
        </w:tc>
      </w:tr>
      <w:tr w:rsidR="007F1CE0" w:rsidRPr="003E6052" w:rsidTr="00E461EB">
        <w:tc>
          <w:tcPr>
            <w:tcW w:w="1126" w:type="dxa"/>
            <w:vMerge/>
          </w:tcPr>
          <w:p w:rsidR="007F1CE0" w:rsidRDefault="007F1CE0">
            <w:pPr>
              <w:jc w:val="center"/>
              <w:rPr>
                <w:szCs w:val="26"/>
              </w:rPr>
            </w:pPr>
          </w:p>
        </w:tc>
        <w:tc>
          <w:tcPr>
            <w:tcW w:w="5253" w:type="dxa"/>
            <w:gridSpan w:val="2"/>
            <w:vMerge/>
          </w:tcPr>
          <w:p w:rsidR="007F1CE0" w:rsidRPr="00372985" w:rsidRDefault="007F1CE0" w:rsidP="007864F3">
            <w:pPr>
              <w:jc w:val="both"/>
              <w:rPr>
                <w:bCs/>
                <w:szCs w:val="26"/>
              </w:rPr>
            </w:pPr>
          </w:p>
        </w:tc>
        <w:tc>
          <w:tcPr>
            <w:tcW w:w="4395" w:type="dxa"/>
            <w:shd w:val="clear" w:color="auto" w:fill="auto"/>
          </w:tcPr>
          <w:p w:rsidR="007F1CE0" w:rsidRPr="00372985" w:rsidRDefault="007F1CE0" w:rsidP="00372985">
            <w:pPr>
              <w:pStyle w:val="NoSpacing"/>
              <w:jc w:val="both"/>
              <w:rPr>
                <w:szCs w:val="26"/>
              </w:rPr>
            </w:pPr>
            <w:r>
              <w:rPr>
                <w:szCs w:val="26"/>
              </w:rPr>
              <w:t>Repeal section 372(2) and section 372(3)</w:t>
            </w:r>
            <w:r w:rsidRPr="00372985">
              <w:rPr>
                <w:szCs w:val="26"/>
              </w:rPr>
              <w:t>.</w:t>
            </w:r>
          </w:p>
        </w:tc>
        <w:tc>
          <w:tcPr>
            <w:tcW w:w="3119" w:type="dxa"/>
            <w:shd w:val="clear" w:color="auto" w:fill="auto"/>
          </w:tcPr>
          <w:p w:rsidR="007F1CE0" w:rsidRPr="00372985" w:rsidRDefault="007F1CE0" w:rsidP="00B80A0A">
            <w:pPr>
              <w:pStyle w:val="NoSpacing"/>
              <w:jc w:val="both"/>
              <w:rPr>
                <w:szCs w:val="26"/>
                <w:highlight w:val="yellow"/>
              </w:rPr>
            </w:pPr>
            <w:r>
              <w:rPr>
                <w:szCs w:val="26"/>
              </w:rPr>
              <w:t>Simplify filing requirements to be aligned with requirements in other jurisdictions and requirements for Singapore-incorporated companies</w:t>
            </w:r>
            <w:r w:rsidR="00B80A0A">
              <w:rPr>
                <w:szCs w:val="26"/>
              </w:rPr>
              <w:t>.</w:t>
            </w:r>
          </w:p>
        </w:tc>
      </w:tr>
      <w:tr w:rsidR="006702D3" w:rsidRPr="003E6052" w:rsidTr="00C42E01">
        <w:tc>
          <w:tcPr>
            <w:tcW w:w="13893" w:type="dxa"/>
            <w:gridSpan w:val="5"/>
            <w:shd w:val="clear" w:color="auto" w:fill="FBD4B4" w:themeFill="accent6" w:themeFillTint="66"/>
          </w:tcPr>
          <w:p w:rsidR="006702D3" w:rsidRPr="003E15CD" w:rsidRDefault="006702D3" w:rsidP="00FF3301">
            <w:pPr>
              <w:pStyle w:val="NoSpacing"/>
              <w:jc w:val="both"/>
              <w:rPr>
                <w:b/>
                <w:szCs w:val="26"/>
              </w:rPr>
            </w:pPr>
            <w:r w:rsidRPr="003E15CD">
              <w:rPr>
                <w:b/>
                <w:szCs w:val="26"/>
              </w:rPr>
              <w:t xml:space="preserve">Requirements to file </w:t>
            </w:r>
            <w:r>
              <w:rPr>
                <w:b/>
                <w:szCs w:val="26"/>
              </w:rPr>
              <w:t>financial statements</w:t>
            </w:r>
          </w:p>
        </w:tc>
      </w:tr>
      <w:tr w:rsidR="00E461EB" w:rsidRPr="003E6052" w:rsidTr="00E461EB">
        <w:tc>
          <w:tcPr>
            <w:tcW w:w="1135" w:type="dxa"/>
            <w:gridSpan w:val="2"/>
            <w:vMerge w:val="restart"/>
          </w:tcPr>
          <w:p w:rsidR="00E461EB" w:rsidRPr="00E461EB" w:rsidRDefault="00E461EB" w:rsidP="00E461EB">
            <w:pPr>
              <w:jc w:val="center"/>
              <w:rPr>
                <w:szCs w:val="26"/>
              </w:rPr>
            </w:pPr>
            <w:r>
              <w:rPr>
                <w:szCs w:val="26"/>
              </w:rPr>
              <w:t>44</w:t>
            </w:r>
          </w:p>
        </w:tc>
        <w:tc>
          <w:tcPr>
            <w:tcW w:w="5244" w:type="dxa"/>
            <w:vMerge w:val="restart"/>
          </w:tcPr>
          <w:p w:rsidR="00E461EB" w:rsidRDefault="00E461EB" w:rsidP="00E461EB">
            <w:pPr>
              <w:jc w:val="both"/>
              <w:rPr>
                <w:bCs/>
                <w:szCs w:val="26"/>
              </w:rPr>
            </w:pPr>
            <w:r>
              <w:rPr>
                <w:bCs/>
                <w:szCs w:val="26"/>
              </w:rPr>
              <w:t xml:space="preserve">Section 373 requires a </w:t>
            </w:r>
            <w:r w:rsidRPr="00071295">
              <w:rPr>
                <w:bCs/>
                <w:szCs w:val="26"/>
              </w:rPr>
              <w:t xml:space="preserve">foreign company to </w:t>
            </w:r>
            <w:r>
              <w:rPr>
                <w:bCs/>
                <w:szCs w:val="26"/>
              </w:rPr>
              <w:t>file:</w:t>
            </w:r>
          </w:p>
          <w:p w:rsidR="00E461EB" w:rsidRDefault="00E461EB" w:rsidP="00E461EB">
            <w:pPr>
              <w:pStyle w:val="ListParagraph"/>
              <w:numPr>
                <w:ilvl w:val="0"/>
                <w:numId w:val="21"/>
              </w:numPr>
              <w:jc w:val="both"/>
              <w:rPr>
                <w:bCs/>
                <w:szCs w:val="26"/>
              </w:rPr>
            </w:pPr>
            <w:r w:rsidRPr="000A05EC">
              <w:rPr>
                <w:bCs/>
                <w:szCs w:val="26"/>
              </w:rPr>
              <w:t>a</w:t>
            </w:r>
            <w:r>
              <w:rPr>
                <w:bCs/>
                <w:szCs w:val="26"/>
                <w:u w:val="single"/>
              </w:rPr>
              <w:t xml:space="preserve"> </w:t>
            </w:r>
            <w:r w:rsidRPr="00CA5825">
              <w:rPr>
                <w:bCs/>
                <w:szCs w:val="26"/>
                <w:u w:val="single"/>
              </w:rPr>
              <w:t>balance sheet</w:t>
            </w:r>
            <w:r>
              <w:rPr>
                <w:bCs/>
                <w:szCs w:val="26"/>
              </w:rPr>
              <w:t xml:space="preserve"> that is prepared:</w:t>
            </w:r>
          </w:p>
          <w:p w:rsidR="00F52732" w:rsidRDefault="00E461EB" w:rsidP="00E461EB">
            <w:pPr>
              <w:pStyle w:val="ListParagraph"/>
              <w:numPr>
                <w:ilvl w:val="1"/>
                <w:numId w:val="21"/>
              </w:numPr>
              <w:jc w:val="both"/>
              <w:rPr>
                <w:bCs/>
                <w:szCs w:val="26"/>
              </w:rPr>
            </w:pPr>
            <w:r>
              <w:rPr>
                <w:bCs/>
                <w:szCs w:val="26"/>
              </w:rPr>
              <w:t xml:space="preserve">based on requirements in </w:t>
            </w:r>
            <w:r w:rsidRPr="00D11688">
              <w:rPr>
                <w:bCs/>
                <w:szCs w:val="26"/>
              </w:rPr>
              <w:t>its place of incorporation</w:t>
            </w:r>
            <w:r>
              <w:rPr>
                <w:bCs/>
                <w:szCs w:val="26"/>
              </w:rPr>
              <w:t>;</w:t>
            </w:r>
            <w:r w:rsidRPr="00D11688">
              <w:rPr>
                <w:bCs/>
                <w:szCs w:val="26"/>
              </w:rPr>
              <w:t xml:space="preserve"> or</w:t>
            </w:r>
            <w:r>
              <w:rPr>
                <w:bCs/>
                <w:szCs w:val="26"/>
              </w:rPr>
              <w:t xml:space="preserve"> </w:t>
            </w:r>
          </w:p>
          <w:p w:rsidR="00F52732" w:rsidRDefault="00E461EB" w:rsidP="00E461EB">
            <w:pPr>
              <w:pStyle w:val="ListParagraph"/>
              <w:numPr>
                <w:ilvl w:val="1"/>
                <w:numId w:val="21"/>
              </w:numPr>
              <w:jc w:val="both"/>
              <w:rPr>
                <w:bCs/>
                <w:szCs w:val="26"/>
              </w:rPr>
            </w:pPr>
            <w:r>
              <w:rPr>
                <w:bCs/>
                <w:szCs w:val="26"/>
              </w:rPr>
              <w:t xml:space="preserve">as if it is a Singapore incorporated public company (if it is not required to prepare accounts in its place of incorporation); and </w:t>
            </w:r>
          </w:p>
          <w:p w:rsidR="00E461EB" w:rsidRDefault="00E461EB" w:rsidP="00F52732">
            <w:pPr>
              <w:pStyle w:val="ListParagraph"/>
              <w:numPr>
                <w:ilvl w:val="0"/>
                <w:numId w:val="21"/>
              </w:numPr>
              <w:jc w:val="both"/>
              <w:rPr>
                <w:bCs/>
                <w:szCs w:val="26"/>
              </w:rPr>
            </w:pPr>
            <w:r>
              <w:rPr>
                <w:bCs/>
                <w:szCs w:val="26"/>
              </w:rPr>
              <w:t xml:space="preserve">an </w:t>
            </w:r>
            <w:r w:rsidRPr="00380B29">
              <w:rPr>
                <w:bCs/>
                <w:szCs w:val="26"/>
              </w:rPr>
              <w:t xml:space="preserve">audited statement of its assets and liabilities, and profit and loss account in </w:t>
            </w:r>
            <w:r w:rsidRPr="00380B29">
              <w:rPr>
                <w:bCs/>
                <w:szCs w:val="26"/>
              </w:rPr>
              <w:lastRenderedPageBreak/>
              <w:t>relation to its operations in Singapore</w:t>
            </w:r>
            <w:r>
              <w:rPr>
                <w:bCs/>
                <w:szCs w:val="26"/>
              </w:rPr>
              <w:t xml:space="preserve"> </w:t>
            </w:r>
            <w:r w:rsidRPr="00124EA8">
              <w:rPr>
                <w:bCs/>
                <w:szCs w:val="26"/>
              </w:rPr>
              <w:t>(</w:t>
            </w:r>
            <w:r>
              <w:rPr>
                <w:bCs/>
                <w:szCs w:val="26"/>
              </w:rPr>
              <w:t>“</w:t>
            </w:r>
            <w:r w:rsidRPr="00124EA8">
              <w:rPr>
                <w:bCs/>
                <w:szCs w:val="26"/>
              </w:rPr>
              <w:t>Singapore Branch Accounts</w:t>
            </w:r>
            <w:r>
              <w:rPr>
                <w:bCs/>
                <w:szCs w:val="26"/>
              </w:rPr>
              <w:t>”</w:t>
            </w:r>
            <w:r w:rsidRPr="00124EA8">
              <w:rPr>
                <w:bCs/>
                <w:szCs w:val="26"/>
              </w:rPr>
              <w:t>)</w:t>
            </w:r>
            <w:r w:rsidRPr="00380B29">
              <w:rPr>
                <w:bCs/>
                <w:szCs w:val="26"/>
              </w:rPr>
              <w:t>.</w:t>
            </w:r>
          </w:p>
          <w:p w:rsidR="00E461EB" w:rsidRDefault="00E461EB" w:rsidP="00E461EB">
            <w:pPr>
              <w:jc w:val="both"/>
              <w:rPr>
                <w:bCs/>
                <w:szCs w:val="26"/>
              </w:rPr>
            </w:pPr>
          </w:p>
          <w:p w:rsidR="00E461EB" w:rsidRDefault="00E461EB" w:rsidP="00E461EB">
            <w:pPr>
              <w:jc w:val="both"/>
              <w:rPr>
                <w:bCs/>
                <w:szCs w:val="26"/>
              </w:rPr>
            </w:pPr>
            <w:r>
              <w:rPr>
                <w:bCs/>
                <w:szCs w:val="26"/>
              </w:rPr>
              <w:t>The documents are to be filed within 2 months of the AGM of the foreign company.</w:t>
            </w:r>
          </w:p>
        </w:tc>
        <w:tc>
          <w:tcPr>
            <w:tcW w:w="4395" w:type="dxa"/>
            <w:shd w:val="clear" w:color="auto" w:fill="auto"/>
          </w:tcPr>
          <w:p w:rsidR="00E461EB" w:rsidRDefault="00E461EB" w:rsidP="00E461EB">
            <w:pPr>
              <w:pStyle w:val="NoSpacing"/>
              <w:jc w:val="both"/>
              <w:rPr>
                <w:szCs w:val="26"/>
              </w:rPr>
            </w:pPr>
            <w:r>
              <w:rPr>
                <w:szCs w:val="26"/>
              </w:rPr>
              <w:lastRenderedPageBreak/>
              <w:t>Repeal and re-enact section 373.</w:t>
            </w:r>
          </w:p>
          <w:p w:rsidR="00E461EB" w:rsidRDefault="00E461EB" w:rsidP="00E461EB">
            <w:pPr>
              <w:pStyle w:val="NoSpacing"/>
              <w:jc w:val="both"/>
              <w:rPr>
                <w:szCs w:val="26"/>
              </w:rPr>
            </w:pPr>
          </w:p>
          <w:p w:rsidR="00E461EB" w:rsidRDefault="00E461EB" w:rsidP="00E461EB">
            <w:pPr>
              <w:pStyle w:val="NoSpacing"/>
              <w:jc w:val="both"/>
              <w:rPr>
                <w:szCs w:val="26"/>
              </w:rPr>
            </w:pPr>
            <w:r>
              <w:rPr>
                <w:szCs w:val="26"/>
              </w:rPr>
              <w:t>New section 373(1) to (7) r</w:t>
            </w:r>
            <w:r w:rsidRPr="00AC1218">
              <w:rPr>
                <w:szCs w:val="26"/>
              </w:rPr>
              <w:t>equire</w:t>
            </w:r>
            <w:r>
              <w:rPr>
                <w:szCs w:val="26"/>
              </w:rPr>
              <w:t xml:space="preserve"> a</w:t>
            </w:r>
            <w:r w:rsidRPr="00AC1218">
              <w:rPr>
                <w:szCs w:val="26"/>
              </w:rPr>
              <w:t xml:space="preserve"> foreign compan</w:t>
            </w:r>
            <w:r>
              <w:rPr>
                <w:szCs w:val="26"/>
              </w:rPr>
              <w:t>y</w:t>
            </w:r>
            <w:r w:rsidRPr="00AC1218">
              <w:rPr>
                <w:szCs w:val="26"/>
              </w:rPr>
              <w:t xml:space="preserve"> to lodge similar components of </w:t>
            </w:r>
            <w:r>
              <w:rPr>
                <w:szCs w:val="26"/>
              </w:rPr>
              <w:t>its</w:t>
            </w:r>
            <w:r w:rsidRPr="00AC1218">
              <w:rPr>
                <w:szCs w:val="26"/>
              </w:rPr>
              <w:t xml:space="preserve"> financial statements with the Registrar as those expected of</w:t>
            </w:r>
            <w:r>
              <w:rPr>
                <w:szCs w:val="26"/>
              </w:rPr>
              <w:t xml:space="preserve"> a</w:t>
            </w:r>
            <w:r w:rsidRPr="00AC1218">
              <w:rPr>
                <w:szCs w:val="26"/>
              </w:rPr>
              <w:t xml:space="preserve"> </w:t>
            </w:r>
            <w:r>
              <w:rPr>
                <w:szCs w:val="26"/>
              </w:rPr>
              <w:t>Singapore-</w:t>
            </w:r>
            <w:r w:rsidRPr="00AC1218">
              <w:rPr>
                <w:szCs w:val="26"/>
              </w:rPr>
              <w:t>incorporated compan</w:t>
            </w:r>
            <w:r>
              <w:rPr>
                <w:szCs w:val="26"/>
              </w:rPr>
              <w:t>y i.e. file:</w:t>
            </w:r>
          </w:p>
          <w:p w:rsidR="00E461EB" w:rsidRDefault="00E461EB" w:rsidP="00E461EB">
            <w:pPr>
              <w:pStyle w:val="ListParagraph"/>
              <w:numPr>
                <w:ilvl w:val="0"/>
                <w:numId w:val="21"/>
              </w:numPr>
              <w:jc w:val="both"/>
              <w:rPr>
                <w:bCs/>
                <w:szCs w:val="26"/>
              </w:rPr>
            </w:pPr>
            <w:r w:rsidRPr="00CA5825">
              <w:rPr>
                <w:bCs/>
                <w:szCs w:val="26"/>
                <w:u w:val="single"/>
              </w:rPr>
              <w:t>financial statements</w:t>
            </w:r>
            <w:r>
              <w:rPr>
                <w:bCs/>
                <w:szCs w:val="26"/>
              </w:rPr>
              <w:t xml:space="preserve"> that are prepared:</w:t>
            </w:r>
          </w:p>
          <w:p w:rsidR="00E461EB" w:rsidRDefault="00E461EB" w:rsidP="00E461EB">
            <w:pPr>
              <w:pStyle w:val="ListParagraph"/>
              <w:numPr>
                <w:ilvl w:val="0"/>
                <w:numId w:val="23"/>
              </w:numPr>
              <w:jc w:val="both"/>
              <w:rPr>
                <w:bCs/>
                <w:szCs w:val="26"/>
              </w:rPr>
            </w:pPr>
            <w:r>
              <w:rPr>
                <w:bCs/>
                <w:szCs w:val="26"/>
              </w:rPr>
              <w:t xml:space="preserve">based on requirements in </w:t>
            </w:r>
            <w:r w:rsidRPr="00D11688">
              <w:rPr>
                <w:bCs/>
                <w:szCs w:val="26"/>
              </w:rPr>
              <w:t xml:space="preserve">its </w:t>
            </w:r>
            <w:r w:rsidRPr="00D11688">
              <w:rPr>
                <w:bCs/>
                <w:szCs w:val="26"/>
              </w:rPr>
              <w:lastRenderedPageBreak/>
              <w:t>place of incorporation</w:t>
            </w:r>
            <w:r>
              <w:rPr>
                <w:bCs/>
                <w:szCs w:val="26"/>
              </w:rPr>
              <w:t>;</w:t>
            </w:r>
            <w:r w:rsidRPr="00D11688">
              <w:rPr>
                <w:bCs/>
                <w:szCs w:val="26"/>
              </w:rPr>
              <w:t xml:space="preserve"> or</w:t>
            </w:r>
          </w:p>
          <w:p w:rsidR="00E461EB" w:rsidRPr="00D11688" w:rsidRDefault="00E461EB" w:rsidP="00E461EB">
            <w:pPr>
              <w:pStyle w:val="ListParagraph"/>
              <w:numPr>
                <w:ilvl w:val="0"/>
                <w:numId w:val="23"/>
              </w:numPr>
              <w:jc w:val="both"/>
              <w:rPr>
                <w:bCs/>
                <w:szCs w:val="26"/>
              </w:rPr>
            </w:pPr>
            <w:r>
              <w:rPr>
                <w:bCs/>
                <w:szCs w:val="26"/>
              </w:rPr>
              <w:t>as if it is a Singapore incorporated public company (if it is not required to prepare accounts in its place of incorporation)</w:t>
            </w:r>
          </w:p>
          <w:p w:rsidR="00E461EB" w:rsidRDefault="00E461EB" w:rsidP="00F52732">
            <w:pPr>
              <w:pStyle w:val="NoSpacing"/>
              <w:numPr>
                <w:ilvl w:val="0"/>
                <w:numId w:val="63"/>
              </w:numPr>
              <w:jc w:val="both"/>
              <w:rPr>
                <w:szCs w:val="26"/>
              </w:rPr>
            </w:pPr>
            <w:r w:rsidRPr="00380B29">
              <w:rPr>
                <w:bCs/>
                <w:szCs w:val="26"/>
              </w:rPr>
              <w:t>audited statement of its assets and liabilities, and profit and loss account in relation to its operations in Singapore</w:t>
            </w:r>
            <w:r>
              <w:rPr>
                <w:bCs/>
                <w:szCs w:val="26"/>
              </w:rPr>
              <w:t xml:space="preserve"> </w:t>
            </w:r>
            <w:r w:rsidRPr="00CA5825">
              <w:rPr>
                <w:bCs/>
                <w:i/>
                <w:szCs w:val="26"/>
              </w:rPr>
              <w:t>(no change)</w:t>
            </w:r>
            <w:r w:rsidRPr="00380B29">
              <w:rPr>
                <w:bCs/>
                <w:szCs w:val="26"/>
              </w:rPr>
              <w:t>.</w:t>
            </w:r>
          </w:p>
        </w:tc>
        <w:tc>
          <w:tcPr>
            <w:tcW w:w="3119" w:type="dxa"/>
            <w:shd w:val="clear" w:color="auto" w:fill="auto"/>
          </w:tcPr>
          <w:p w:rsidR="00E461EB" w:rsidRDefault="00E461EB" w:rsidP="00C14EF0">
            <w:pPr>
              <w:pStyle w:val="NoSpacing"/>
              <w:jc w:val="both"/>
              <w:rPr>
                <w:szCs w:val="26"/>
              </w:rPr>
            </w:pPr>
            <w:r>
              <w:rPr>
                <w:szCs w:val="26"/>
              </w:rPr>
              <w:lastRenderedPageBreak/>
              <w:t>Increased disclosure from foreign companies</w:t>
            </w:r>
            <w:r>
              <w:rPr>
                <w:rStyle w:val="FootnoteReference"/>
                <w:szCs w:val="26"/>
              </w:rPr>
              <w:footnoteReference w:id="5"/>
            </w:r>
            <w:r>
              <w:rPr>
                <w:szCs w:val="26"/>
              </w:rPr>
              <w:t xml:space="preserve"> will allow </w:t>
            </w:r>
            <w:r w:rsidRPr="00071295">
              <w:rPr>
                <w:szCs w:val="26"/>
              </w:rPr>
              <w:t>persons in Singapore who deal with the compan</w:t>
            </w:r>
            <w:r>
              <w:rPr>
                <w:szCs w:val="26"/>
              </w:rPr>
              <w:t>ies</w:t>
            </w:r>
            <w:r w:rsidRPr="00071295">
              <w:rPr>
                <w:szCs w:val="26"/>
              </w:rPr>
              <w:t xml:space="preserve"> </w:t>
            </w:r>
            <w:r>
              <w:rPr>
                <w:szCs w:val="26"/>
              </w:rPr>
              <w:t xml:space="preserve">to </w:t>
            </w:r>
            <w:r w:rsidRPr="00071295">
              <w:rPr>
                <w:szCs w:val="26"/>
              </w:rPr>
              <w:t>make better-informed business decisions.</w:t>
            </w:r>
            <w:r>
              <w:rPr>
                <w:szCs w:val="26"/>
              </w:rPr>
              <w:t xml:space="preserve"> </w:t>
            </w:r>
            <w:r w:rsidRPr="00AC17AD">
              <w:rPr>
                <w:szCs w:val="26"/>
              </w:rPr>
              <w:t xml:space="preserve">This will </w:t>
            </w:r>
            <w:r>
              <w:rPr>
                <w:szCs w:val="26"/>
              </w:rPr>
              <w:t xml:space="preserve">also </w:t>
            </w:r>
            <w:r w:rsidRPr="00AC17AD">
              <w:rPr>
                <w:szCs w:val="26"/>
              </w:rPr>
              <w:t xml:space="preserve">align our requirements with that in the </w:t>
            </w:r>
            <w:r>
              <w:rPr>
                <w:szCs w:val="26"/>
              </w:rPr>
              <w:t>UK, Australia and NZ.</w:t>
            </w:r>
          </w:p>
        </w:tc>
      </w:tr>
      <w:tr w:rsidR="00F52732" w:rsidRPr="003E6052" w:rsidTr="00E461EB">
        <w:tc>
          <w:tcPr>
            <w:tcW w:w="1135" w:type="dxa"/>
            <w:gridSpan w:val="2"/>
            <w:vMerge/>
          </w:tcPr>
          <w:p w:rsidR="00F52732" w:rsidRDefault="00F52732" w:rsidP="00E461EB">
            <w:pPr>
              <w:jc w:val="both"/>
              <w:rPr>
                <w:bCs/>
                <w:szCs w:val="26"/>
              </w:rPr>
            </w:pPr>
          </w:p>
        </w:tc>
        <w:tc>
          <w:tcPr>
            <w:tcW w:w="5244" w:type="dxa"/>
            <w:vMerge/>
          </w:tcPr>
          <w:p w:rsidR="00F52732" w:rsidRDefault="00F52732" w:rsidP="00E461EB">
            <w:pPr>
              <w:jc w:val="both"/>
              <w:rPr>
                <w:bCs/>
                <w:szCs w:val="26"/>
              </w:rPr>
            </w:pPr>
          </w:p>
        </w:tc>
        <w:tc>
          <w:tcPr>
            <w:tcW w:w="4395" w:type="dxa"/>
            <w:shd w:val="clear" w:color="auto" w:fill="auto"/>
          </w:tcPr>
          <w:p w:rsidR="00F52732" w:rsidRDefault="00F52732" w:rsidP="00F52732">
            <w:pPr>
              <w:pStyle w:val="NoSpacing"/>
              <w:jc w:val="both"/>
              <w:rPr>
                <w:szCs w:val="26"/>
              </w:rPr>
            </w:pPr>
            <w:r>
              <w:rPr>
                <w:szCs w:val="26"/>
              </w:rPr>
              <w:t>New section 373</w:t>
            </w:r>
            <w:r w:rsidRPr="007703F6">
              <w:rPr>
                <w:szCs w:val="26"/>
              </w:rPr>
              <w:t>(</w:t>
            </w:r>
            <w:r w:rsidR="005C3C08" w:rsidRPr="007703F6">
              <w:rPr>
                <w:szCs w:val="26"/>
              </w:rPr>
              <w:t>3) cl</w:t>
            </w:r>
            <w:r w:rsidRPr="007703F6">
              <w:rPr>
                <w:szCs w:val="26"/>
              </w:rPr>
              <w:t>arifies</w:t>
            </w:r>
            <w:r w:rsidRPr="000E233B">
              <w:rPr>
                <w:szCs w:val="26"/>
              </w:rPr>
              <w:t xml:space="preserve"> that</w:t>
            </w:r>
            <w:r>
              <w:rPr>
                <w:szCs w:val="26"/>
              </w:rPr>
              <w:t>:</w:t>
            </w:r>
          </w:p>
          <w:p w:rsidR="00F52732" w:rsidRDefault="00F52732" w:rsidP="00F52732">
            <w:pPr>
              <w:pStyle w:val="NoSpacing"/>
              <w:numPr>
                <w:ilvl w:val="0"/>
                <w:numId w:val="56"/>
              </w:numPr>
              <w:jc w:val="both"/>
              <w:rPr>
                <w:szCs w:val="26"/>
              </w:rPr>
            </w:pPr>
            <w:r w:rsidRPr="000E233B">
              <w:rPr>
                <w:szCs w:val="26"/>
              </w:rPr>
              <w:t xml:space="preserve">the obligation to file </w:t>
            </w:r>
            <w:r>
              <w:rPr>
                <w:szCs w:val="26"/>
              </w:rPr>
              <w:t>financial statements</w:t>
            </w:r>
            <w:r w:rsidRPr="000E233B">
              <w:rPr>
                <w:szCs w:val="26"/>
              </w:rPr>
              <w:t xml:space="preserve"> is dependent on whether </w:t>
            </w:r>
            <w:r>
              <w:rPr>
                <w:szCs w:val="26"/>
              </w:rPr>
              <w:t>the financial statements</w:t>
            </w:r>
            <w:r w:rsidRPr="000E233B">
              <w:rPr>
                <w:szCs w:val="26"/>
              </w:rPr>
              <w:t xml:space="preserve"> are required to be prepared </w:t>
            </w:r>
            <w:r>
              <w:rPr>
                <w:szCs w:val="26"/>
              </w:rPr>
              <w:t xml:space="preserve">and tabled at AGM </w:t>
            </w:r>
            <w:r w:rsidRPr="000E233B">
              <w:rPr>
                <w:szCs w:val="26"/>
              </w:rPr>
              <w:t xml:space="preserve">in the place of incorporation, and not </w:t>
            </w:r>
            <w:r>
              <w:rPr>
                <w:szCs w:val="26"/>
              </w:rPr>
              <w:t xml:space="preserve">simply </w:t>
            </w:r>
            <w:r w:rsidRPr="000E233B">
              <w:rPr>
                <w:szCs w:val="26"/>
              </w:rPr>
              <w:t xml:space="preserve">whether </w:t>
            </w:r>
            <w:r>
              <w:rPr>
                <w:szCs w:val="26"/>
              </w:rPr>
              <w:t>a foreign</w:t>
            </w:r>
            <w:r w:rsidRPr="000E233B">
              <w:rPr>
                <w:szCs w:val="26"/>
              </w:rPr>
              <w:t xml:space="preserve"> company is required to hold AGM</w:t>
            </w:r>
            <w:r>
              <w:rPr>
                <w:rStyle w:val="FootnoteReference"/>
                <w:szCs w:val="26"/>
              </w:rPr>
              <w:footnoteReference w:id="6"/>
            </w:r>
            <w:r>
              <w:rPr>
                <w:szCs w:val="26"/>
              </w:rPr>
              <w:t>;</w:t>
            </w:r>
          </w:p>
          <w:p w:rsidR="00F52732" w:rsidRPr="00F52732" w:rsidRDefault="00F52732" w:rsidP="00F52732">
            <w:pPr>
              <w:pStyle w:val="NoSpacing"/>
              <w:numPr>
                <w:ilvl w:val="0"/>
                <w:numId w:val="56"/>
              </w:numPr>
              <w:jc w:val="both"/>
              <w:rPr>
                <w:szCs w:val="26"/>
              </w:rPr>
            </w:pPr>
            <w:r w:rsidRPr="00F52732">
              <w:rPr>
                <w:szCs w:val="26"/>
              </w:rPr>
              <w:t xml:space="preserve">the timeframe for filing will be within 2 months of the holding of the AGM or </w:t>
            </w:r>
          </w:p>
        </w:tc>
        <w:tc>
          <w:tcPr>
            <w:tcW w:w="3119" w:type="dxa"/>
            <w:shd w:val="clear" w:color="auto" w:fill="auto"/>
          </w:tcPr>
          <w:p w:rsidR="00F52732" w:rsidRDefault="00F52732" w:rsidP="00F52732">
            <w:pPr>
              <w:pStyle w:val="NoSpacing"/>
              <w:jc w:val="both"/>
              <w:rPr>
                <w:szCs w:val="26"/>
              </w:rPr>
            </w:pPr>
            <w:r>
              <w:rPr>
                <w:szCs w:val="26"/>
              </w:rPr>
              <w:t>Technical amendment f</w:t>
            </w:r>
            <w:r w:rsidRPr="00BB0589">
              <w:rPr>
                <w:szCs w:val="26"/>
              </w:rPr>
              <w:t>or clarity.</w:t>
            </w:r>
            <w:r>
              <w:rPr>
                <w:szCs w:val="26"/>
              </w:rPr>
              <w:t xml:space="preserve"> Similar to that for a Singapore public company (</w:t>
            </w:r>
            <w:r w:rsidR="006B4586">
              <w:rPr>
                <w:szCs w:val="26"/>
              </w:rPr>
              <w:t>i.e.</w:t>
            </w:r>
            <w:r>
              <w:rPr>
                <w:szCs w:val="26"/>
              </w:rPr>
              <w:t xml:space="preserve"> </w:t>
            </w:r>
            <w:r w:rsidRPr="000E233B">
              <w:rPr>
                <w:szCs w:val="26"/>
              </w:rPr>
              <w:t>within 7 months from the end of the financial period</w:t>
            </w:r>
            <w:r>
              <w:rPr>
                <w:szCs w:val="26"/>
              </w:rPr>
              <w:t>)</w:t>
            </w:r>
            <w:r w:rsidRPr="000E233B">
              <w:rPr>
                <w:szCs w:val="26"/>
              </w:rPr>
              <w:t>, as the case may be</w:t>
            </w:r>
            <w:r>
              <w:rPr>
                <w:szCs w:val="26"/>
              </w:rPr>
              <w:t>.</w:t>
            </w:r>
          </w:p>
        </w:tc>
      </w:tr>
      <w:tr w:rsidR="00F52732" w:rsidRPr="003E6052" w:rsidTr="00E461EB">
        <w:tc>
          <w:tcPr>
            <w:tcW w:w="1135" w:type="dxa"/>
            <w:gridSpan w:val="2"/>
            <w:vMerge/>
          </w:tcPr>
          <w:p w:rsidR="00F52732" w:rsidRDefault="00F52732" w:rsidP="00E461EB">
            <w:pPr>
              <w:jc w:val="both"/>
              <w:rPr>
                <w:bCs/>
                <w:szCs w:val="26"/>
              </w:rPr>
            </w:pPr>
          </w:p>
        </w:tc>
        <w:tc>
          <w:tcPr>
            <w:tcW w:w="5244" w:type="dxa"/>
            <w:vMerge/>
          </w:tcPr>
          <w:p w:rsidR="00F52732" w:rsidRDefault="00F52732" w:rsidP="00E461EB">
            <w:pPr>
              <w:jc w:val="both"/>
              <w:rPr>
                <w:bCs/>
                <w:szCs w:val="26"/>
              </w:rPr>
            </w:pPr>
          </w:p>
        </w:tc>
        <w:tc>
          <w:tcPr>
            <w:tcW w:w="4395" w:type="dxa"/>
            <w:shd w:val="clear" w:color="auto" w:fill="auto"/>
          </w:tcPr>
          <w:p w:rsidR="00F52732" w:rsidRDefault="00F52732" w:rsidP="00E461EB">
            <w:pPr>
              <w:pStyle w:val="NoSpacing"/>
              <w:jc w:val="both"/>
              <w:rPr>
                <w:szCs w:val="26"/>
              </w:rPr>
            </w:pPr>
            <w:r>
              <w:rPr>
                <w:szCs w:val="26"/>
              </w:rPr>
              <w:t>Introduce section 373(9) to e</w:t>
            </w:r>
            <w:r w:rsidRPr="00124EA8">
              <w:rPr>
                <w:szCs w:val="26"/>
              </w:rPr>
              <w:t xml:space="preserve">xempt </w:t>
            </w:r>
            <w:r>
              <w:rPr>
                <w:szCs w:val="26"/>
              </w:rPr>
              <w:t xml:space="preserve">the </w:t>
            </w:r>
            <w:r w:rsidRPr="00124EA8">
              <w:rPr>
                <w:szCs w:val="26"/>
              </w:rPr>
              <w:t xml:space="preserve">Singapore Branch Accounts </w:t>
            </w:r>
            <w:r>
              <w:rPr>
                <w:szCs w:val="26"/>
              </w:rPr>
              <w:t xml:space="preserve">from audit if </w:t>
            </w:r>
            <w:r w:rsidRPr="00124EA8">
              <w:rPr>
                <w:szCs w:val="26"/>
              </w:rPr>
              <w:t xml:space="preserve">a foreign company </w:t>
            </w:r>
            <w:r>
              <w:rPr>
                <w:szCs w:val="26"/>
              </w:rPr>
              <w:t>is dormant in Singapore, as defined in the new section 373(19)</w:t>
            </w:r>
            <w:r w:rsidRPr="00124EA8">
              <w:rPr>
                <w:szCs w:val="26"/>
              </w:rPr>
              <w:t xml:space="preserve">. </w:t>
            </w:r>
            <w:r>
              <w:rPr>
                <w:szCs w:val="26"/>
              </w:rPr>
              <w:t xml:space="preserve">The Singapore Branch </w:t>
            </w:r>
            <w:r>
              <w:rPr>
                <w:szCs w:val="26"/>
              </w:rPr>
              <w:lastRenderedPageBreak/>
              <w:t>Accounts</w:t>
            </w:r>
            <w:r w:rsidRPr="00124EA8">
              <w:rPr>
                <w:szCs w:val="26"/>
              </w:rPr>
              <w:t xml:space="preserve"> </w:t>
            </w:r>
            <w:r>
              <w:rPr>
                <w:szCs w:val="26"/>
              </w:rPr>
              <w:t xml:space="preserve">will </w:t>
            </w:r>
            <w:r w:rsidRPr="00124EA8">
              <w:rPr>
                <w:szCs w:val="26"/>
              </w:rPr>
              <w:t>still need to be filed with the Registrar.</w:t>
            </w:r>
          </w:p>
        </w:tc>
        <w:tc>
          <w:tcPr>
            <w:tcW w:w="3119" w:type="dxa"/>
            <w:shd w:val="clear" w:color="auto" w:fill="auto"/>
          </w:tcPr>
          <w:p w:rsidR="00F52732" w:rsidRDefault="00F52732" w:rsidP="00C14EF0">
            <w:pPr>
              <w:pStyle w:val="NoSpacing"/>
              <w:jc w:val="both"/>
              <w:rPr>
                <w:szCs w:val="26"/>
              </w:rPr>
            </w:pPr>
            <w:r w:rsidRPr="00124EA8">
              <w:rPr>
                <w:szCs w:val="26"/>
              </w:rPr>
              <w:lastRenderedPageBreak/>
              <w:t xml:space="preserve">Reduce compliance cost </w:t>
            </w:r>
            <w:r>
              <w:rPr>
                <w:szCs w:val="26"/>
              </w:rPr>
              <w:t xml:space="preserve">for foreign companies </w:t>
            </w:r>
            <w:r w:rsidRPr="00124EA8">
              <w:rPr>
                <w:szCs w:val="26"/>
              </w:rPr>
              <w:t xml:space="preserve">and </w:t>
            </w:r>
            <w:r>
              <w:rPr>
                <w:szCs w:val="26"/>
              </w:rPr>
              <w:t xml:space="preserve">continue to </w:t>
            </w:r>
            <w:r w:rsidRPr="00124EA8">
              <w:rPr>
                <w:szCs w:val="26"/>
              </w:rPr>
              <w:t xml:space="preserve">ensure </w:t>
            </w:r>
            <w:r>
              <w:rPr>
                <w:szCs w:val="26"/>
              </w:rPr>
              <w:t xml:space="preserve">that interested persons will have </w:t>
            </w:r>
            <w:r w:rsidRPr="00124EA8">
              <w:rPr>
                <w:szCs w:val="26"/>
              </w:rPr>
              <w:t xml:space="preserve">access to accounts. </w:t>
            </w:r>
            <w:r>
              <w:rPr>
                <w:szCs w:val="26"/>
              </w:rPr>
              <w:t xml:space="preserve">This is </w:t>
            </w:r>
            <w:r>
              <w:rPr>
                <w:szCs w:val="26"/>
              </w:rPr>
              <w:lastRenderedPageBreak/>
              <w:t>consistent with</w:t>
            </w:r>
            <w:r w:rsidRPr="00124EA8">
              <w:rPr>
                <w:szCs w:val="26"/>
              </w:rPr>
              <w:t xml:space="preserve"> the approach for </w:t>
            </w:r>
            <w:r>
              <w:rPr>
                <w:szCs w:val="26"/>
              </w:rPr>
              <w:t xml:space="preserve">a </w:t>
            </w:r>
            <w:r w:rsidRPr="00124EA8">
              <w:rPr>
                <w:szCs w:val="26"/>
              </w:rPr>
              <w:t xml:space="preserve">dormant </w:t>
            </w:r>
            <w:r>
              <w:rPr>
                <w:szCs w:val="26"/>
              </w:rPr>
              <w:t>Singapore</w:t>
            </w:r>
            <w:r w:rsidRPr="00124EA8">
              <w:rPr>
                <w:szCs w:val="26"/>
              </w:rPr>
              <w:t>-incorporated listed company</w:t>
            </w:r>
            <w:r w:rsidRPr="00124EA8">
              <w:rPr>
                <w:rStyle w:val="FootnoteReference"/>
                <w:szCs w:val="26"/>
              </w:rPr>
              <w:footnoteReference w:id="7"/>
            </w:r>
            <w:r w:rsidRPr="00124EA8">
              <w:rPr>
                <w:szCs w:val="26"/>
              </w:rPr>
              <w:t>.</w:t>
            </w:r>
          </w:p>
        </w:tc>
      </w:tr>
      <w:tr w:rsidR="00F52732" w:rsidRPr="003E6052" w:rsidTr="00E461EB">
        <w:tc>
          <w:tcPr>
            <w:tcW w:w="1135" w:type="dxa"/>
            <w:gridSpan w:val="2"/>
            <w:vMerge/>
          </w:tcPr>
          <w:p w:rsidR="00F52732" w:rsidRDefault="00F52732" w:rsidP="00E461EB">
            <w:pPr>
              <w:jc w:val="both"/>
              <w:rPr>
                <w:bCs/>
                <w:szCs w:val="26"/>
              </w:rPr>
            </w:pPr>
          </w:p>
        </w:tc>
        <w:tc>
          <w:tcPr>
            <w:tcW w:w="5244" w:type="dxa"/>
            <w:vMerge/>
          </w:tcPr>
          <w:p w:rsidR="00F52732" w:rsidRDefault="00F52732" w:rsidP="00E461EB">
            <w:pPr>
              <w:jc w:val="both"/>
              <w:rPr>
                <w:bCs/>
                <w:szCs w:val="26"/>
              </w:rPr>
            </w:pPr>
          </w:p>
        </w:tc>
        <w:tc>
          <w:tcPr>
            <w:tcW w:w="4395" w:type="dxa"/>
            <w:shd w:val="clear" w:color="auto" w:fill="auto"/>
          </w:tcPr>
          <w:p w:rsidR="00F52732" w:rsidRDefault="00F52732" w:rsidP="00E461EB">
            <w:pPr>
              <w:pStyle w:val="NoSpacing"/>
              <w:jc w:val="both"/>
              <w:rPr>
                <w:szCs w:val="26"/>
              </w:rPr>
            </w:pPr>
            <w:r>
              <w:rPr>
                <w:szCs w:val="26"/>
              </w:rPr>
              <w:t>Introduce section 373(10) to a</w:t>
            </w:r>
            <w:r w:rsidRPr="006E55D3">
              <w:rPr>
                <w:szCs w:val="26"/>
              </w:rPr>
              <w:t xml:space="preserve">llow </w:t>
            </w:r>
            <w:r>
              <w:rPr>
                <w:szCs w:val="26"/>
              </w:rPr>
              <w:t xml:space="preserve">a </w:t>
            </w:r>
            <w:r w:rsidRPr="006E55D3">
              <w:rPr>
                <w:szCs w:val="26"/>
              </w:rPr>
              <w:t>foreign compan</w:t>
            </w:r>
            <w:r>
              <w:rPr>
                <w:szCs w:val="26"/>
              </w:rPr>
              <w:t>y</w:t>
            </w:r>
            <w:r w:rsidRPr="006E55D3">
              <w:rPr>
                <w:szCs w:val="26"/>
              </w:rPr>
              <w:t xml:space="preserve"> to apply for an extension of time to prepare and file their Singapore Branch Accounts.</w:t>
            </w:r>
          </w:p>
        </w:tc>
        <w:tc>
          <w:tcPr>
            <w:tcW w:w="3119" w:type="dxa"/>
            <w:shd w:val="clear" w:color="auto" w:fill="auto"/>
          </w:tcPr>
          <w:p w:rsidR="00F52732" w:rsidRDefault="00F52732" w:rsidP="00C14EF0">
            <w:pPr>
              <w:pStyle w:val="NoSpacing"/>
              <w:jc w:val="both"/>
              <w:rPr>
                <w:szCs w:val="26"/>
              </w:rPr>
            </w:pPr>
            <w:r>
              <w:rPr>
                <w:szCs w:val="26"/>
              </w:rPr>
              <w:t xml:space="preserve">To ensure </w:t>
            </w:r>
            <w:r w:rsidRPr="006E55D3">
              <w:rPr>
                <w:szCs w:val="26"/>
              </w:rPr>
              <w:t xml:space="preserve">consistency as similar exemption powers are already given to the Registrar for </w:t>
            </w:r>
            <w:r>
              <w:rPr>
                <w:szCs w:val="26"/>
              </w:rPr>
              <w:t>Singapore</w:t>
            </w:r>
            <w:r w:rsidRPr="006E55D3">
              <w:rPr>
                <w:szCs w:val="26"/>
              </w:rPr>
              <w:t>-incorporated companies. A fee may be chargeable for the application of extension</w:t>
            </w:r>
            <w:r w:rsidRPr="006E55D3">
              <w:rPr>
                <w:rStyle w:val="FootnoteReference"/>
                <w:szCs w:val="26"/>
              </w:rPr>
              <w:footnoteReference w:id="8"/>
            </w:r>
            <w:r w:rsidRPr="006E55D3">
              <w:rPr>
                <w:szCs w:val="26"/>
              </w:rPr>
              <w:t>.</w:t>
            </w:r>
          </w:p>
        </w:tc>
      </w:tr>
      <w:tr w:rsidR="001D097E" w:rsidRPr="003E6052" w:rsidTr="00E461EB">
        <w:tc>
          <w:tcPr>
            <w:tcW w:w="1126" w:type="dxa"/>
            <w:vMerge w:val="restart"/>
            <w:shd w:val="clear" w:color="auto" w:fill="auto"/>
          </w:tcPr>
          <w:p w:rsidR="001D097E" w:rsidRPr="00756BC0" w:rsidRDefault="00756BC0" w:rsidP="00FF3301">
            <w:pPr>
              <w:pStyle w:val="NoSpacing"/>
              <w:jc w:val="center"/>
              <w:rPr>
                <w:szCs w:val="26"/>
              </w:rPr>
            </w:pPr>
            <w:r w:rsidRPr="00756BC0">
              <w:rPr>
                <w:szCs w:val="26"/>
              </w:rPr>
              <w:t>44</w:t>
            </w:r>
          </w:p>
        </w:tc>
        <w:tc>
          <w:tcPr>
            <w:tcW w:w="5253" w:type="dxa"/>
            <w:gridSpan w:val="2"/>
            <w:shd w:val="clear" w:color="auto" w:fill="auto"/>
          </w:tcPr>
          <w:p w:rsidR="001D097E" w:rsidRPr="00C54020" w:rsidRDefault="001D097E" w:rsidP="00FF3301">
            <w:pPr>
              <w:pStyle w:val="NoSpacing"/>
              <w:jc w:val="both"/>
              <w:rPr>
                <w:szCs w:val="26"/>
              </w:rPr>
            </w:pPr>
            <w:r>
              <w:t>There is no requirement to name the auditor of a foreign company.</w:t>
            </w:r>
          </w:p>
        </w:tc>
        <w:tc>
          <w:tcPr>
            <w:tcW w:w="4395" w:type="dxa"/>
            <w:shd w:val="clear" w:color="auto" w:fill="auto"/>
          </w:tcPr>
          <w:p w:rsidR="001D097E" w:rsidRPr="00CF1DDE" w:rsidRDefault="001D097E" w:rsidP="00CF1DDE">
            <w:pPr>
              <w:pStyle w:val="NoSpacing"/>
              <w:jc w:val="both"/>
            </w:pPr>
            <w:r w:rsidRPr="00CF1DDE">
              <w:t>Introduce new requirement in section 373(1) and (7) to require foreign company/ branch to disclose the name of its auditors and the auditor of the Singapore branch accounts when the accounts are filed.</w:t>
            </w:r>
          </w:p>
        </w:tc>
        <w:tc>
          <w:tcPr>
            <w:tcW w:w="3119" w:type="dxa"/>
            <w:shd w:val="clear" w:color="auto" w:fill="auto"/>
          </w:tcPr>
          <w:p w:rsidR="001D097E" w:rsidRPr="00CF1DDE" w:rsidRDefault="001D097E" w:rsidP="00CF1DDE">
            <w:pPr>
              <w:pStyle w:val="NoSpacing"/>
              <w:jc w:val="both"/>
            </w:pPr>
            <w:r w:rsidRPr="00CF1DDE">
              <w:t>For consistency with the position for Singapore-incorporated companies, which are required to disclose such information in their annual returns.</w:t>
            </w:r>
          </w:p>
        </w:tc>
      </w:tr>
      <w:tr w:rsidR="001D097E" w:rsidRPr="003E6052" w:rsidTr="00E461EB">
        <w:tc>
          <w:tcPr>
            <w:tcW w:w="1126" w:type="dxa"/>
            <w:vMerge/>
          </w:tcPr>
          <w:p w:rsidR="001D097E" w:rsidRPr="00307909" w:rsidRDefault="001D097E" w:rsidP="00307909">
            <w:pPr>
              <w:jc w:val="center"/>
              <w:rPr>
                <w:bCs/>
                <w:szCs w:val="26"/>
              </w:rPr>
            </w:pPr>
          </w:p>
        </w:tc>
        <w:tc>
          <w:tcPr>
            <w:tcW w:w="5253" w:type="dxa"/>
            <w:gridSpan w:val="2"/>
            <w:vMerge w:val="restart"/>
          </w:tcPr>
          <w:p w:rsidR="00E0544F" w:rsidRDefault="001D097E">
            <w:pPr>
              <w:pStyle w:val="NoSpacing"/>
              <w:jc w:val="both"/>
              <w:rPr>
                <w:szCs w:val="26"/>
              </w:rPr>
            </w:pPr>
            <w:r w:rsidRPr="004D0DDD">
              <w:rPr>
                <w:szCs w:val="26"/>
              </w:rPr>
              <w:t>Section 373(5)(b) gives the Registrar the power to waive compliance with the requirement for the Singapore Branch Accounts if:</w:t>
            </w:r>
          </w:p>
          <w:p w:rsidR="001D097E" w:rsidRPr="004D0DDD" w:rsidRDefault="001D097E" w:rsidP="00527F31">
            <w:pPr>
              <w:pStyle w:val="NoSpacing"/>
              <w:numPr>
                <w:ilvl w:val="0"/>
                <w:numId w:val="65"/>
              </w:numPr>
              <w:ind w:left="610" w:hanging="610"/>
              <w:jc w:val="both"/>
              <w:rPr>
                <w:szCs w:val="26"/>
              </w:rPr>
            </w:pPr>
            <w:r w:rsidRPr="004D0DDD">
              <w:rPr>
                <w:szCs w:val="26"/>
              </w:rPr>
              <w:t>it is impractical due to the nature of the operations in Singapore;</w:t>
            </w:r>
          </w:p>
          <w:p w:rsidR="001D097E" w:rsidRPr="004D0DDD" w:rsidRDefault="001D097E" w:rsidP="00527F31">
            <w:pPr>
              <w:pStyle w:val="NoSpacing"/>
              <w:numPr>
                <w:ilvl w:val="0"/>
                <w:numId w:val="65"/>
              </w:numPr>
              <w:ind w:left="610" w:hanging="610"/>
              <w:jc w:val="both"/>
              <w:rPr>
                <w:szCs w:val="26"/>
              </w:rPr>
            </w:pPr>
            <w:r w:rsidRPr="004D0DDD">
              <w:rPr>
                <w:szCs w:val="26"/>
              </w:rPr>
              <w:lastRenderedPageBreak/>
              <w:t>it would be of no real value having regard to the amount involved;</w:t>
            </w:r>
          </w:p>
          <w:p w:rsidR="001D097E" w:rsidRDefault="001D097E" w:rsidP="00527F31">
            <w:pPr>
              <w:pStyle w:val="NoSpacing"/>
              <w:numPr>
                <w:ilvl w:val="0"/>
                <w:numId w:val="65"/>
              </w:numPr>
              <w:ind w:left="610" w:hanging="610"/>
              <w:jc w:val="both"/>
              <w:rPr>
                <w:szCs w:val="26"/>
              </w:rPr>
            </w:pPr>
            <w:r w:rsidRPr="004D0DDD">
              <w:rPr>
                <w:szCs w:val="26"/>
              </w:rPr>
              <w:t xml:space="preserve">it would involve expense unduly out of proportion to its value; or </w:t>
            </w:r>
          </w:p>
          <w:p w:rsidR="001D097E" w:rsidRPr="004D0DDD" w:rsidRDefault="001D097E" w:rsidP="00527F31">
            <w:pPr>
              <w:pStyle w:val="NoSpacing"/>
              <w:numPr>
                <w:ilvl w:val="0"/>
                <w:numId w:val="65"/>
              </w:numPr>
              <w:ind w:left="610" w:hanging="610"/>
              <w:jc w:val="both"/>
              <w:rPr>
                <w:szCs w:val="26"/>
              </w:rPr>
            </w:pPr>
            <w:r w:rsidRPr="004D0DDD">
              <w:rPr>
                <w:szCs w:val="26"/>
              </w:rPr>
              <w:t>it would be misleading or harmful to the business of the company or related company.</w:t>
            </w:r>
          </w:p>
          <w:p w:rsidR="001D097E" w:rsidRPr="004D0DDD" w:rsidRDefault="001D097E" w:rsidP="004D0DDD">
            <w:pPr>
              <w:pStyle w:val="NoSpacing"/>
              <w:jc w:val="both"/>
              <w:rPr>
                <w:szCs w:val="26"/>
              </w:rPr>
            </w:pPr>
          </w:p>
          <w:p w:rsidR="001D097E" w:rsidRPr="004D0DDD" w:rsidRDefault="001D097E" w:rsidP="004D0DDD">
            <w:pPr>
              <w:pStyle w:val="NoSpacing"/>
              <w:jc w:val="both"/>
              <w:rPr>
                <w:szCs w:val="26"/>
              </w:rPr>
            </w:pPr>
            <w:r w:rsidRPr="004D0DDD">
              <w:rPr>
                <w:szCs w:val="26"/>
              </w:rPr>
              <w:t>Under section 373(7) and (8), the Registrar may grant relief to the foreign company from any requirement relating to the form and content of accounts.</w:t>
            </w:r>
          </w:p>
        </w:tc>
        <w:tc>
          <w:tcPr>
            <w:tcW w:w="4395" w:type="dxa"/>
            <w:shd w:val="clear" w:color="auto" w:fill="auto"/>
          </w:tcPr>
          <w:p w:rsidR="00E0544F" w:rsidRDefault="001D097E">
            <w:pPr>
              <w:pStyle w:val="NoSpacing"/>
              <w:tabs>
                <w:tab w:val="left" w:pos="599"/>
              </w:tabs>
              <w:jc w:val="both"/>
              <w:rPr>
                <w:szCs w:val="26"/>
              </w:rPr>
            </w:pPr>
            <w:r>
              <w:rPr>
                <w:szCs w:val="26"/>
              </w:rPr>
              <w:lastRenderedPageBreak/>
              <w:t xml:space="preserve">Repeal and re-enact section 373(5)(b) as section 373(12) </w:t>
            </w:r>
            <w:r w:rsidR="001D36C5">
              <w:rPr>
                <w:szCs w:val="26"/>
              </w:rPr>
              <w:t>and</w:t>
            </w:r>
            <w:r>
              <w:rPr>
                <w:szCs w:val="26"/>
              </w:rPr>
              <w:t xml:space="preserve"> c</w:t>
            </w:r>
            <w:r w:rsidRPr="003619D8">
              <w:rPr>
                <w:szCs w:val="26"/>
              </w:rPr>
              <w:t>larify that</w:t>
            </w:r>
            <w:r w:rsidR="001D36C5">
              <w:rPr>
                <w:szCs w:val="26"/>
              </w:rPr>
              <w:t xml:space="preserve"> section 373(12) only deals with the waiver of </w:t>
            </w:r>
            <w:r w:rsidRPr="003619D8">
              <w:rPr>
                <w:szCs w:val="26"/>
              </w:rPr>
              <w:t xml:space="preserve">the requirement for </w:t>
            </w:r>
            <w:r w:rsidRPr="003619D8">
              <w:rPr>
                <w:szCs w:val="26"/>
                <w:u w:val="single"/>
              </w:rPr>
              <w:t xml:space="preserve">filing of </w:t>
            </w:r>
            <w:r>
              <w:rPr>
                <w:szCs w:val="26"/>
                <w:u w:val="single"/>
              </w:rPr>
              <w:t>Singapore B</w:t>
            </w:r>
            <w:r w:rsidRPr="003619D8">
              <w:rPr>
                <w:szCs w:val="26"/>
                <w:u w:val="single"/>
              </w:rPr>
              <w:t xml:space="preserve">ranch </w:t>
            </w:r>
            <w:r>
              <w:rPr>
                <w:szCs w:val="26"/>
                <w:u w:val="single"/>
              </w:rPr>
              <w:t>A</w:t>
            </w:r>
            <w:r w:rsidRPr="003619D8">
              <w:rPr>
                <w:szCs w:val="26"/>
                <w:u w:val="single"/>
              </w:rPr>
              <w:t>ccounts</w:t>
            </w:r>
            <w:r w:rsidRPr="003619D8">
              <w:rPr>
                <w:szCs w:val="26"/>
              </w:rPr>
              <w:t xml:space="preserve"> </w:t>
            </w:r>
            <w:r>
              <w:rPr>
                <w:szCs w:val="26"/>
              </w:rPr>
              <w:t xml:space="preserve">and not </w:t>
            </w:r>
            <w:r w:rsidRPr="003619D8">
              <w:rPr>
                <w:szCs w:val="26"/>
              </w:rPr>
              <w:t xml:space="preserve">other requirements relating to the </w:t>
            </w:r>
            <w:r>
              <w:rPr>
                <w:szCs w:val="26"/>
              </w:rPr>
              <w:lastRenderedPageBreak/>
              <w:t>Singapore B</w:t>
            </w:r>
            <w:r w:rsidRPr="003619D8">
              <w:rPr>
                <w:szCs w:val="26"/>
              </w:rPr>
              <w:t xml:space="preserve">ranch </w:t>
            </w:r>
            <w:r>
              <w:rPr>
                <w:szCs w:val="26"/>
              </w:rPr>
              <w:t>A</w:t>
            </w:r>
            <w:r w:rsidRPr="003619D8">
              <w:rPr>
                <w:szCs w:val="26"/>
              </w:rPr>
              <w:t>ccounts</w:t>
            </w:r>
            <w:r w:rsidR="00E0544F">
              <w:rPr>
                <w:szCs w:val="26"/>
              </w:rPr>
              <w:t>.</w:t>
            </w:r>
          </w:p>
          <w:p w:rsidR="00E0544F" w:rsidRDefault="00E0544F">
            <w:pPr>
              <w:pStyle w:val="NoSpacing"/>
              <w:tabs>
                <w:tab w:val="left" w:pos="599"/>
              </w:tabs>
              <w:jc w:val="both"/>
              <w:rPr>
                <w:szCs w:val="26"/>
              </w:rPr>
            </w:pPr>
          </w:p>
          <w:p w:rsidR="00E0544F" w:rsidRDefault="0069064F">
            <w:pPr>
              <w:pStyle w:val="NoSpacing"/>
              <w:tabs>
                <w:tab w:val="left" w:pos="599"/>
              </w:tabs>
              <w:jc w:val="both"/>
              <w:rPr>
                <w:szCs w:val="26"/>
              </w:rPr>
            </w:pPr>
            <w:r>
              <w:rPr>
                <w:szCs w:val="26"/>
              </w:rPr>
              <w:t xml:space="preserve">Repeal and re-enact section 373(7) as section 373(13) and clarify that </w:t>
            </w:r>
            <w:r w:rsidR="001D097E">
              <w:rPr>
                <w:szCs w:val="26"/>
              </w:rPr>
              <w:t>the Registrar can grant relief from any requirement relating to</w:t>
            </w:r>
            <w:r w:rsidR="001D097E" w:rsidRPr="003619D8">
              <w:rPr>
                <w:szCs w:val="26"/>
              </w:rPr>
              <w:t xml:space="preserve"> the </w:t>
            </w:r>
            <w:r w:rsidR="001D097E" w:rsidRPr="003619D8">
              <w:rPr>
                <w:szCs w:val="26"/>
                <w:u w:val="single"/>
              </w:rPr>
              <w:t xml:space="preserve">form and content of both </w:t>
            </w:r>
            <w:r w:rsidR="001D097E">
              <w:rPr>
                <w:szCs w:val="26"/>
                <w:u w:val="single"/>
              </w:rPr>
              <w:t>Singapore B</w:t>
            </w:r>
            <w:r w:rsidR="001D097E" w:rsidRPr="003619D8">
              <w:rPr>
                <w:szCs w:val="26"/>
                <w:u w:val="single"/>
              </w:rPr>
              <w:t xml:space="preserve">ranch </w:t>
            </w:r>
            <w:r w:rsidR="001D097E">
              <w:rPr>
                <w:szCs w:val="26"/>
                <w:u w:val="single"/>
              </w:rPr>
              <w:t>A</w:t>
            </w:r>
            <w:r w:rsidR="001D097E" w:rsidRPr="003619D8">
              <w:rPr>
                <w:szCs w:val="26"/>
                <w:u w:val="single"/>
              </w:rPr>
              <w:t>ccounts and head office financial statements</w:t>
            </w:r>
            <w:r w:rsidR="001D097E" w:rsidRPr="003619D8">
              <w:rPr>
                <w:i/>
                <w:szCs w:val="26"/>
              </w:rPr>
              <w:t>.</w:t>
            </w:r>
          </w:p>
        </w:tc>
        <w:tc>
          <w:tcPr>
            <w:tcW w:w="3119" w:type="dxa"/>
            <w:shd w:val="clear" w:color="auto" w:fill="auto"/>
          </w:tcPr>
          <w:p w:rsidR="001D097E" w:rsidRPr="00BF094C" w:rsidRDefault="001D097E" w:rsidP="00D45A9E">
            <w:pPr>
              <w:pStyle w:val="NoSpacing"/>
              <w:tabs>
                <w:tab w:val="left" w:pos="599"/>
              </w:tabs>
              <w:jc w:val="both"/>
              <w:rPr>
                <w:szCs w:val="26"/>
                <w:highlight w:val="yellow"/>
              </w:rPr>
            </w:pPr>
            <w:r w:rsidRPr="001B4324">
              <w:rPr>
                <w:szCs w:val="26"/>
              </w:rPr>
              <w:lastRenderedPageBreak/>
              <w:t xml:space="preserve">For clarity. </w:t>
            </w:r>
            <w:r>
              <w:rPr>
                <w:szCs w:val="26"/>
              </w:rPr>
              <w:t xml:space="preserve">The new section 373(13) deals with relief from requirements to ‘form and content’ of the accounts while the new section 373(13)(a) </w:t>
            </w:r>
            <w:r>
              <w:rPr>
                <w:szCs w:val="26"/>
              </w:rPr>
              <w:lastRenderedPageBreak/>
              <w:t>specifically refers to ‘audit’ as well for avoidance of doubt.</w:t>
            </w:r>
          </w:p>
        </w:tc>
      </w:tr>
      <w:tr w:rsidR="001D097E" w:rsidRPr="003E6052" w:rsidTr="00E461EB">
        <w:tc>
          <w:tcPr>
            <w:tcW w:w="1126" w:type="dxa"/>
            <w:vMerge/>
          </w:tcPr>
          <w:p w:rsidR="001D097E" w:rsidRPr="000B42BC" w:rsidRDefault="001D097E" w:rsidP="00043AC4">
            <w:pPr>
              <w:jc w:val="both"/>
              <w:rPr>
                <w:bCs/>
                <w:szCs w:val="26"/>
              </w:rPr>
            </w:pPr>
          </w:p>
        </w:tc>
        <w:tc>
          <w:tcPr>
            <w:tcW w:w="5253" w:type="dxa"/>
            <w:gridSpan w:val="2"/>
            <w:vMerge/>
          </w:tcPr>
          <w:p w:rsidR="001D097E" w:rsidRPr="000B42BC" w:rsidRDefault="001D097E" w:rsidP="00043AC4">
            <w:pPr>
              <w:jc w:val="both"/>
              <w:rPr>
                <w:bCs/>
                <w:szCs w:val="26"/>
              </w:rPr>
            </w:pPr>
          </w:p>
        </w:tc>
        <w:tc>
          <w:tcPr>
            <w:tcW w:w="4395" w:type="dxa"/>
            <w:shd w:val="clear" w:color="auto" w:fill="auto"/>
          </w:tcPr>
          <w:p w:rsidR="001D097E" w:rsidDel="00BB17DF" w:rsidRDefault="001D097E" w:rsidP="00BF3E59">
            <w:pPr>
              <w:pStyle w:val="NoSpacing"/>
              <w:jc w:val="both"/>
            </w:pPr>
            <w:r>
              <w:t>Introduce section 373(17)(b) to g</w:t>
            </w:r>
            <w:r w:rsidRPr="003619D8">
              <w:t xml:space="preserve">ive the Minister the power to grant an exemption from the requirement to file </w:t>
            </w:r>
            <w:r>
              <w:t>Singapore B</w:t>
            </w:r>
            <w:r w:rsidRPr="003619D8">
              <w:t xml:space="preserve">ranch </w:t>
            </w:r>
            <w:r>
              <w:t>A</w:t>
            </w:r>
            <w:r w:rsidRPr="003619D8">
              <w:t>ccounts through a class orde</w:t>
            </w:r>
            <w:r>
              <w:t>r.</w:t>
            </w:r>
          </w:p>
        </w:tc>
        <w:tc>
          <w:tcPr>
            <w:tcW w:w="3119" w:type="dxa"/>
            <w:shd w:val="clear" w:color="auto" w:fill="auto"/>
          </w:tcPr>
          <w:p w:rsidR="001D097E" w:rsidRPr="001B4324" w:rsidRDefault="001D097E" w:rsidP="00F95624">
            <w:pPr>
              <w:pStyle w:val="NoSpacing"/>
              <w:tabs>
                <w:tab w:val="left" w:pos="599"/>
              </w:tabs>
              <w:jc w:val="both"/>
              <w:rPr>
                <w:szCs w:val="26"/>
              </w:rPr>
            </w:pPr>
            <w:r>
              <w:rPr>
                <w:szCs w:val="26"/>
              </w:rPr>
              <w:t>Provide</w:t>
            </w:r>
            <w:r w:rsidRPr="008114C1">
              <w:rPr>
                <w:szCs w:val="26"/>
              </w:rPr>
              <w:t xml:space="preserve"> flexibility</w:t>
            </w:r>
            <w:r>
              <w:rPr>
                <w:szCs w:val="26"/>
              </w:rPr>
              <w:t xml:space="preserve"> for the Minister to grant exemptions.</w:t>
            </w:r>
          </w:p>
        </w:tc>
      </w:tr>
      <w:tr w:rsidR="006702D3" w:rsidRPr="003E6052" w:rsidTr="00E461EB">
        <w:tc>
          <w:tcPr>
            <w:tcW w:w="1126" w:type="dxa"/>
            <w:shd w:val="clear" w:color="auto" w:fill="auto"/>
          </w:tcPr>
          <w:p w:rsidR="006702D3" w:rsidRPr="001D08D3" w:rsidRDefault="001D08D3">
            <w:pPr>
              <w:pStyle w:val="NoSpacing"/>
              <w:jc w:val="center"/>
              <w:rPr>
                <w:szCs w:val="26"/>
              </w:rPr>
            </w:pPr>
            <w:r w:rsidRPr="001D08D3">
              <w:rPr>
                <w:szCs w:val="26"/>
              </w:rPr>
              <w:t>44</w:t>
            </w:r>
          </w:p>
        </w:tc>
        <w:tc>
          <w:tcPr>
            <w:tcW w:w="5253" w:type="dxa"/>
            <w:gridSpan w:val="2"/>
            <w:shd w:val="clear" w:color="auto" w:fill="auto"/>
          </w:tcPr>
          <w:p w:rsidR="006702D3" w:rsidRPr="00AF2C6B" w:rsidRDefault="006702D3" w:rsidP="00B43B35">
            <w:pPr>
              <w:jc w:val="both"/>
              <w:rPr>
                <w:bCs/>
                <w:szCs w:val="26"/>
              </w:rPr>
            </w:pPr>
            <w:r w:rsidRPr="00AF2C6B">
              <w:rPr>
                <w:bCs/>
                <w:szCs w:val="26"/>
              </w:rPr>
              <w:t xml:space="preserve">There is no specific penalty for foreign companies that fail to </w:t>
            </w:r>
            <w:r>
              <w:rPr>
                <w:bCs/>
                <w:szCs w:val="26"/>
              </w:rPr>
              <w:t xml:space="preserve">file </w:t>
            </w:r>
            <w:r w:rsidRPr="00AF2C6B">
              <w:rPr>
                <w:bCs/>
                <w:szCs w:val="26"/>
              </w:rPr>
              <w:t>the foreign companies’ financial statements and/or the Singapore Branch Accounts, except for the general penalty provision under section 386, which sets out the penalties for default by:</w:t>
            </w:r>
          </w:p>
          <w:p w:rsidR="006702D3" w:rsidRPr="00AF2C6B" w:rsidRDefault="006702D3" w:rsidP="00B43B35">
            <w:pPr>
              <w:pStyle w:val="ListParagraph"/>
              <w:numPr>
                <w:ilvl w:val="0"/>
                <w:numId w:val="9"/>
              </w:numPr>
              <w:tabs>
                <w:tab w:val="left" w:pos="601"/>
              </w:tabs>
              <w:ind w:left="601" w:hanging="601"/>
              <w:jc w:val="both"/>
              <w:rPr>
                <w:bCs/>
                <w:szCs w:val="26"/>
              </w:rPr>
            </w:pPr>
            <w:r w:rsidRPr="00AF2C6B">
              <w:rPr>
                <w:bCs/>
                <w:szCs w:val="26"/>
              </w:rPr>
              <w:t>any foreign company in complying with any provision relating to foreign companies;</w:t>
            </w:r>
          </w:p>
          <w:p w:rsidR="006702D3" w:rsidRPr="00AF2C6B" w:rsidRDefault="006702D3" w:rsidP="00B43B35">
            <w:pPr>
              <w:pStyle w:val="ListParagraph"/>
              <w:numPr>
                <w:ilvl w:val="0"/>
                <w:numId w:val="9"/>
              </w:numPr>
              <w:tabs>
                <w:tab w:val="left" w:pos="601"/>
              </w:tabs>
              <w:ind w:left="601" w:hanging="601"/>
              <w:jc w:val="both"/>
              <w:rPr>
                <w:bCs/>
                <w:szCs w:val="26"/>
              </w:rPr>
            </w:pPr>
            <w:r w:rsidRPr="00AF2C6B">
              <w:rPr>
                <w:bCs/>
                <w:szCs w:val="26"/>
              </w:rPr>
              <w:t>every officer of the company who is in default; and</w:t>
            </w:r>
          </w:p>
          <w:p w:rsidR="006702D3" w:rsidRPr="00AF2C6B" w:rsidRDefault="006702D3" w:rsidP="00B43B35">
            <w:pPr>
              <w:pStyle w:val="ListParagraph"/>
              <w:numPr>
                <w:ilvl w:val="0"/>
                <w:numId w:val="9"/>
              </w:numPr>
              <w:tabs>
                <w:tab w:val="left" w:pos="601"/>
              </w:tabs>
              <w:ind w:left="601" w:hanging="601"/>
              <w:jc w:val="both"/>
              <w:rPr>
                <w:bCs/>
                <w:szCs w:val="26"/>
              </w:rPr>
            </w:pPr>
            <w:r w:rsidRPr="00AF2C6B">
              <w:rPr>
                <w:bCs/>
                <w:szCs w:val="26"/>
              </w:rPr>
              <w:t>every agent of the company who knowingly and wilfully authorises or permits the default.</w:t>
            </w:r>
          </w:p>
          <w:p w:rsidR="006702D3" w:rsidRPr="007E365D" w:rsidRDefault="006702D3" w:rsidP="00572585">
            <w:pPr>
              <w:pStyle w:val="NoSpacing"/>
              <w:jc w:val="both"/>
              <w:rPr>
                <w:szCs w:val="26"/>
              </w:rPr>
            </w:pPr>
            <w:r w:rsidRPr="00AF2C6B">
              <w:rPr>
                <w:bCs/>
                <w:szCs w:val="26"/>
              </w:rPr>
              <w:t xml:space="preserve">The penalty is a fine not exceeding $1,000 and </w:t>
            </w:r>
            <w:r w:rsidRPr="00AF2C6B">
              <w:rPr>
                <w:bCs/>
                <w:szCs w:val="26"/>
              </w:rPr>
              <w:lastRenderedPageBreak/>
              <w:t>a default penalty is also imposed.</w:t>
            </w:r>
          </w:p>
        </w:tc>
        <w:tc>
          <w:tcPr>
            <w:tcW w:w="4395" w:type="dxa"/>
            <w:shd w:val="clear" w:color="auto" w:fill="auto"/>
          </w:tcPr>
          <w:p w:rsidR="006702D3" w:rsidRDefault="00DE7C50" w:rsidP="00DE7C50">
            <w:pPr>
              <w:pStyle w:val="NoSpacing"/>
              <w:jc w:val="both"/>
              <w:rPr>
                <w:b/>
                <w:szCs w:val="26"/>
              </w:rPr>
            </w:pPr>
            <w:r>
              <w:rPr>
                <w:szCs w:val="26"/>
              </w:rPr>
              <w:lastRenderedPageBreak/>
              <w:t xml:space="preserve">Introduce </w:t>
            </w:r>
            <w:r w:rsidR="006702D3">
              <w:rPr>
                <w:szCs w:val="26"/>
              </w:rPr>
              <w:t xml:space="preserve">section 373(18) </w:t>
            </w:r>
            <w:r>
              <w:rPr>
                <w:szCs w:val="26"/>
              </w:rPr>
              <w:t xml:space="preserve">to have </w:t>
            </w:r>
            <w:r w:rsidR="006702D3">
              <w:rPr>
                <w:szCs w:val="26"/>
              </w:rPr>
              <w:t>specific</w:t>
            </w:r>
            <w:r w:rsidR="006702D3" w:rsidRPr="0017390E">
              <w:rPr>
                <w:szCs w:val="26"/>
              </w:rPr>
              <w:t xml:space="preserve"> liability and penalty for </w:t>
            </w:r>
            <w:r w:rsidR="006702D3">
              <w:rPr>
                <w:szCs w:val="26"/>
              </w:rPr>
              <w:t xml:space="preserve">a </w:t>
            </w:r>
            <w:r w:rsidR="006702D3" w:rsidRPr="0017390E">
              <w:rPr>
                <w:szCs w:val="26"/>
              </w:rPr>
              <w:t>foreign compan</w:t>
            </w:r>
            <w:r w:rsidR="006702D3">
              <w:rPr>
                <w:szCs w:val="26"/>
              </w:rPr>
              <w:t>y</w:t>
            </w:r>
            <w:r w:rsidR="006702D3" w:rsidRPr="0017390E">
              <w:rPr>
                <w:szCs w:val="26"/>
              </w:rPr>
              <w:t xml:space="preserve"> such that every director or person of a similar responsibility and </w:t>
            </w:r>
            <w:r w:rsidR="006702D3">
              <w:rPr>
                <w:szCs w:val="26"/>
              </w:rPr>
              <w:t xml:space="preserve">authorised representative </w:t>
            </w:r>
            <w:r w:rsidR="006702D3" w:rsidRPr="0017390E">
              <w:rPr>
                <w:szCs w:val="26"/>
              </w:rPr>
              <w:t xml:space="preserve">of the foreign company who knowingly or wilfully authorises or permits the default will be liable for failure to comply with the requirements to file its </w:t>
            </w:r>
            <w:r w:rsidR="006702D3" w:rsidRPr="0017390E">
              <w:rPr>
                <w:bCs/>
                <w:szCs w:val="26"/>
              </w:rPr>
              <w:t xml:space="preserve">foreign company’s </w:t>
            </w:r>
            <w:r w:rsidR="006702D3" w:rsidRPr="0017390E">
              <w:rPr>
                <w:szCs w:val="26"/>
              </w:rPr>
              <w:t>financial statements and the Singapore Branch Accounts.</w:t>
            </w:r>
            <w:r w:rsidR="006702D3" w:rsidRPr="00066394">
              <w:rPr>
                <w:szCs w:val="26"/>
              </w:rPr>
              <w:t xml:space="preserve"> The proposed penalties are aligned with those for </w:t>
            </w:r>
            <w:r w:rsidR="006702D3">
              <w:rPr>
                <w:szCs w:val="26"/>
              </w:rPr>
              <w:t>Singapore-incorporated</w:t>
            </w:r>
            <w:r w:rsidR="006702D3" w:rsidRPr="00066394">
              <w:rPr>
                <w:szCs w:val="26"/>
              </w:rPr>
              <w:t xml:space="preserve"> companies.</w:t>
            </w:r>
          </w:p>
        </w:tc>
        <w:tc>
          <w:tcPr>
            <w:tcW w:w="3119" w:type="dxa"/>
            <w:shd w:val="clear" w:color="auto" w:fill="auto"/>
          </w:tcPr>
          <w:p w:rsidR="006702D3" w:rsidRPr="00E12243" w:rsidRDefault="006702D3" w:rsidP="00C11A60">
            <w:pPr>
              <w:pStyle w:val="NoSpacing"/>
              <w:jc w:val="both"/>
              <w:rPr>
                <w:szCs w:val="26"/>
              </w:rPr>
            </w:pPr>
            <w:r w:rsidRPr="00066394">
              <w:rPr>
                <w:szCs w:val="26"/>
              </w:rPr>
              <w:t xml:space="preserve">As the directors are the persons who control or govern the affairs of the company and the </w:t>
            </w:r>
            <w:r>
              <w:rPr>
                <w:szCs w:val="26"/>
              </w:rPr>
              <w:t>authorised representatives will be</w:t>
            </w:r>
            <w:r w:rsidRPr="00066394">
              <w:rPr>
                <w:szCs w:val="26"/>
              </w:rPr>
              <w:t xml:space="preserve"> responsible for compliance with the regulatory requirements in Singapore, they should be held accountable for the lodgement of financial statements. This is in line with the practice</w:t>
            </w:r>
            <w:r>
              <w:rPr>
                <w:szCs w:val="26"/>
              </w:rPr>
              <w:t>s</w:t>
            </w:r>
            <w:r w:rsidRPr="00066394">
              <w:rPr>
                <w:szCs w:val="26"/>
              </w:rPr>
              <w:t xml:space="preserve"> in jurisdiction</w:t>
            </w:r>
            <w:r>
              <w:rPr>
                <w:szCs w:val="26"/>
              </w:rPr>
              <w:t>s</w:t>
            </w:r>
            <w:r w:rsidRPr="00066394">
              <w:rPr>
                <w:szCs w:val="26"/>
              </w:rPr>
              <w:t xml:space="preserve"> like </w:t>
            </w:r>
            <w:r>
              <w:rPr>
                <w:szCs w:val="26"/>
              </w:rPr>
              <w:t xml:space="preserve">the </w:t>
            </w:r>
            <w:r w:rsidRPr="00066394">
              <w:rPr>
                <w:szCs w:val="26"/>
              </w:rPr>
              <w:t xml:space="preserve">UK, </w:t>
            </w:r>
            <w:r>
              <w:rPr>
                <w:szCs w:val="26"/>
              </w:rPr>
              <w:t xml:space="preserve">HK </w:t>
            </w:r>
            <w:r w:rsidRPr="00066394">
              <w:rPr>
                <w:szCs w:val="26"/>
              </w:rPr>
              <w:t xml:space="preserve">and Australia. This will </w:t>
            </w:r>
            <w:r w:rsidRPr="00066394">
              <w:rPr>
                <w:szCs w:val="26"/>
              </w:rPr>
              <w:lastRenderedPageBreak/>
              <w:t>better ensure that persons in Singapore dealing with foreign companies have access to relevant financial information of the foreign companies.</w:t>
            </w:r>
          </w:p>
        </w:tc>
      </w:tr>
      <w:tr w:rsidR="006702D3" w:rsidRPr="003E6052" w:rsidTr="00C42E01">
        <w:tc>
          <w:tcPr>
            <w:tcW w:w="13893" w:type="dxa"/>
            <w:gridSpan w:val="5"/>
            <w:shd w:val="clear" w:color="auto" w:fill="FBD4B4" w:themeFill="accent6" w:themeFillTint="66"/>
          </w:tcPr>
          <w:p w:rsidR="006702D3" w:rsidRPr="00CB4272" w:rsidRDefault="006702D3" w:rsidP="0049790E">
            <w:pPr>
              <w:pStyle w:val="NoSpacing"/>
              <w:jc w:val="both"/>
              <w:rPr>
                <w:szCs w:val="26"/>
              </w:rPr>
            </w:pPr>
            <w:r>
              <w:rPr>
                <w:b/>
                <w:szCs w:val="26"/>
              </w:rPr>
              <w:lastRenderedPageBreak/>
              <w:t xml:space="preserve">Requirements to state </w:t>
            </w:r>
            <w:r w:rsidRPr="00CB4272">
              <w:rPr>
                <w:b/>
                <w:szCs w:val="26"/>
              </w:rPr>
              <w:t xml:space="preserve">name </w:t>
            </w:r>
            <w:r>
              <w:rPr>
                <w:b/>
                <w:szCs w:val="26"/>
              </w:rPr>
              <w:t>of foreign company</w:t>
            </w:r>
          </w:p>
        </w:tc>
      </w:tr>
      <w:tr w:rsidR="00C11A60" w:rsidRPr="003E6052" w:rsidTr="00E461EB">
        <w:tc>
          <w:tcPr>
            <w:tcW w:w="1126" w:type="dxa"/>
            <w:vMerge w:val="restart"/>
          </w:tcPr>
          <w:p w:rsidR="00C11A60" w:rsidRDefault="00C11A60">
            <w:pPr>
              <w:jc w:val="center"/>
              <w:rPr>
                <w:szCs w:val="26"/>
              </w:rPr>
            </w:pPr>
            <w:r>
              <w:rPr>
                <w:szCs w:val="26"/>
              </w:rPr>
              <w:t>45</w:t>
            </w:r>
          </w:p>
        </w:tc>
        <w:tc>
          <w:tcPr>
            <w:tcW w:w="5253" w:type="dxa"/>
            <w:gridSpan w:val="2"/>
          </w:tcPr>
          <w:p w:rsidR="00C11A60" w:rsidRPr="00CB4272" w:rsidRDefault="00C11A60" w:rsidP="00CB4272">
            <w:pPr>
              <w:jc w:val="both"/>
              <w:rPr>
                <w:bCs/>
                <w:szCs w:val="26"/>
              </w:rPr>
            </w:pPr>
            <w:r>
              <w:rPr>
                <w:bCs/>
                <w:szCs w:val="26"/>
              </w:rPr>
              <w:t xml:space="preserve">Section 375 requires a </w:t>
            </w:r>
            <w:r w:rsidRPr="00CB4272">
              <w:rPr>
                <w:bCs/>
                <w:szCs w:val="26"/>
              </w:rPr>
              <w:t>foreign company to exhibit its name and place of formation outside its registered office and every place of business it establishes in Singapore.</w:t>
            </w:r>
          </w:p>
        </w:tc>
        <w:tc>
          <w:tcPr>
            <w:tcW w:w="4395" w:type="dxa"/>
            <w:shd w:val="clear" w:color="auto" w:fill="auto"/>
          </w:tcPr>
          <w:p w:rsidR="00C11A60" w:rsidRPr="00CB4272" w:rsidRDefault="00C11A60" w:rsidP="0099452E">
            <w:pPr>
              <w:pStyle w:val="NoSpacing"/>
              <w:jc w:val="both"/>
              <w:rPr>
                <w:szCs w:val="26"/>
              </w:rPr>
            </w:pPr>
            <w:r>
              <w:rPr>
                <w:szCs w:val="26"/>
              </w:rPr>
              <w:t>Repeal section 375(1)(a) and modify section 375(2) to r</w:t>
            </w:r>
            <w:r w:rsidRPr="00CB4272">
              <w:rPr>
                <w:szCs w:val="26"/>
              </w:rPr>
              <w:t>emove the requirement.</w:t>
            </w:r>
          </w:p>
        </w:tc>
        <w:tc>
          <w:tcPr>
            <w:tcW w:w="3119" w:type="dxa"/>
            <w:shd w:val="clear" w:color="auto" w:fill="auto"/>
          </w:tcPr>
          <w:p w:rsidR="00C11A60" w:rsidRPr="00CB4272" w:rsidRDefault="00C11A60" w:rsidP="0049790E">
            <w:pPr>
              <w:pStyle w:val="NoSpacing"/>
              <w:jc w:val="both"/>
              <w:rPr>
                <w:szCs w:val="26"/>
                <w:highlight w:val="yellow"/>
              </w:rPr>
            </w:pPr>
            <w:r>
              <w:rPr>
                <w:szCs w:val="26"/>
              </w:rPr>
              <w:t xml:space="preserve">Reduce </w:t>
            </w:r>
            <w:r w:rsidRPr="00CB4272">
              <w:rPr>
                <w:szCs w:val="26"/>
              </w:rPr>
              <w:t xml:space="preserve">compliance cost as such information is </w:t>
            </w:r>
            <w:r>
              <w:rPr>
                <w:szCs w:val="26"/>
              </w:rPr>
              <w:t xml:space="preserve">publicly </w:t>
            </w:r>
            <w:r w:rsidRPr="00CB4272">
              <w:rPr>
                <w:szCs w:val="26"/>
              </w:rPr>
              <w:t>available on ACRA’s website.</w:t>
            </w:r>
          </w:p>
        </w:tc>
      </w:tr>
      <w:tr w:rsidR="00C11A60" w:rsidRPr="003E6052" w:rsidTr="00E461EB">
        <w:tc>
          <w:tcPr>
            <w:tcW w:w="1126" w:type="dxa"/>
            <w:vMerge/>
          </w:tcPr>
          <w:p w:rsidR="00C11A60" w:rsidRDefault="00C11A60" w:rsidP="0049790E">
            <w:pPr>
              <w:jc w:val="center"/>
              <w:rPr>
                <w:szCs w:val="26"/>
              </w:rPr>
            </w:pPr>
          </w:p>
        </w:tc>
        <w:tc>
          <w:tcPr>
            <w:tcW w:w="5253" w:type="dxa"/>
            <w:gridSpan w:val="2"/>
          </w:tcPr>
          <w:p w:rsidR="00C11A60" w:rsidRPr="00CB4272" w:rsidRDefault="00C11A60" w:rsidP="00CC4361">
            <w:pPr>
              <w:jc w:val="both"/>
              <w:rPr>
                <w:bCs/>
                <w:szCs w:val="26"/>
              </w:rPr>
            </w:pPr>
            <w:r w:rsidRPr="00CB4272">
              <w:rPr>
                <w:bCs/>
                <w:szCs w:val="26"/>
              </w:rPr>
              <w:t xml:space="preserve">A </w:t>
            </w:r>
            <w:r>
              <w:rPr>
                <w:bCs/>
                <w:szCs w:val="26"/>
              </w:rPr>
              <w:t>Singapore</w:t>
            </w:r>
            <w:r w:rsidRPr="00CB4272">
              <w:rPr>
                <w:bCs/>
                <w:szCs w:val="26"/>
              </w:rPr>
              <w:t xml:space="preserve">-incorporated company is required to include its registration number (in addition to its registered name) on </w:t>
            </w:r>
            <w:r>
              <w:rPr>
                <w:bCs/>
                <w:szCs w:val="26"/>
              </w:rPr>
              <w:t xml:space="preserve">its </w:t>
            </w:r>
            <w:r w:rsidRPr="00CB4272">
              <w:rPr>
                <w:bCs/>
                <w:szCs w:val="26"/>
              </w:rPr>
              <w:t>business letters, statements of account, invoices, official notices and publications, but a foreign company is not.</w:t>
            </w:r>
          </w:p>
        </w:tc>
        <w:tc>
          <w:tcPr>
            <w:tcW w:w="4395" w:type="dxa"/>
            <w:shd w:val="clear" w:color="auto" w:fill="auto"/>
          </w:tcPr>
          <w:p w:rsidR="00C11A60" w:rsidRPr="00CB4272" w:rsidRDefault="00C11A60" w:rsidP="00882A35">
            <w:pPr>
              <w:pStyle w:val="NoSpacing"/>
              <w:jc w:val="both"/>
              <w:rPr>
                <w:szCs w:val="26"/>
              </w:rPr>
            </w:pPr>
            <w:r>
              <w:rPr>
                <w:szCs w:val="26"/>
              </w:rPr>
              <w:t>Introduce section 375(3) to r</w:t>
            </w:r>
            <w:r w:rsidRPr="00CB4272">
              <w:rPr>
                <w:szCs w:val="26"/>
              </w:rPr>
              <w:t>equire a foreign company to state its Unique Entity Number (UEN) (i.e. the ACRA registration number) in its documents.</w:t>
            </w:r>
            <w:r>
              <w:rPr>
                <w:szCs w:val="26"/>
              </w:rPr>
              <w:t xml:space="preserve"> Introduce section 375(4) to provide for a 12-month transition period.</w:t>
            </w:r>
          </w:p>
        </w:tc>
        <w:tc>
          <w:tcPr>
            <w:tcW w:w="3119" w:type="dxa"/>
            <w:shd w:val="clear" w:color="auto" w:fill="auto"/>
          </w:tcPr>
          <w:p w:rsidR="00C11A60" w:rsidRDefault="00C11A60" w:rsidP="00CB4272">
            <w:pPr>
              <w:pStyle w:val="NoSpacing"/>
              <w:jc w:val="both"/>
              <w:rPr>
                <w:szCs w:val="26"/>
              </w:rPr>
            </w:pPr>
            <w:r>
              <w:rPr>
                <w:szCs w:val="26"/>
              </w:rPr>
              <w:t xml:space="preserve">For consistency with requirements imposed on Singapore-incorporated companies. UEN </w:t>
            </w:r>
            <w:r w:rsidRPr="00CB4272">
              <w:rPr>
                <w:szCs w:val="26"/>
              </w:rPr>
              <w:t xml:space="preserve">serves as a unique identifier for </w:t>
            </w:r>
            <w:r w:rsidR="005C3C08" w:rsidRPr="007703F6">
              <w:rPr>
                <w:szCs w:val="26"/>
              </w:rPr>
              <w:t>entities</w:t>
            </w:r>
            <w:r w:rsidR="00665C3C" w:rsidRPr="007703F6">
              <w:rPr>
                <w:szCs w:val="26"/>
              </w:rPr>
              <w:t xml:space="preserve"> </w:t>
            </w:r>
            <w:r w:rsidRPr="007703F6">
              <w:rPr>
                <w:szCs w:val="26"/>
              </w:rPr>
              <w:t>in Singapore</w:t>
            </w:r>
            <w:r w:rsidRPr="00CB4272">
              <w:rPr>
                <w:szCs w:val="26"/>
              </w:rPr>
              <w:t>.</w:t>
            </w:r>
          </w:p>
          <w:p w:rsidR="00C11A60" w:rsidRDefault="00C11A60" w:rsidP="00CB4272">
            <w:pPr>
              <w:pStyle w:val="NoSpacing"/>
              <w:jc w:val="both"/>
              <w:rPr>
                <w:szCs w:val="26"/>
              </w:rPr>
            </w:pPr>
          </w:p>
          <w:p w:rsidR="00C11A60" w:rsidRPr="00EC1EEE" w:rsidRDefault="00C11A60" w:rsidP="00F6537D">
            <w:pPr>
              <w:jc w:val="both"/>
              <w:rPr>
                <w:i/>
                <w:szCs w:val="26"/>
                <w:u w:val="single"/>
              </w:rPr>
            </w:pPr>
            <w:r w:rsidRPr="008F4106">
              <w:rPr>
                <w:i/>
                <w:szCs w:val="26"/>
                <w:u w:val="single"/>
              </w:rPr>
              <w:t>Consultation question 4</w:t>
            </w:r>
          </w:p>
          <w:p w:rsidR="00C11A60" w:rsidRDefault="00C11A60" w:rsidP="00E9788F">
            <w:pPr>
              <w:pStyle w:val="NoSpacing"/>
              <w:jc w:val="both"/>
              <w:rPr>
                <w:i/>
                <w:szCs w:val="26"/>
              </w:rPr>
            </w:pPr>
            <w:r>
              <w:rPr>
                <w:i/>
                <w:szCs w:val="26"/>
              </w:rPr>
              <w:t>We would like to seek comments on whether the 12-month transition period provided for in section 375(4) is suitable.</w:t>
            </w:r>
          </w:p>
        </w:tc>
      </w:tr>
      <w:tr w:rsidR="006702D3" w:rsidRPr="003E6052" w:rsidTr="00FF3301">
        <w:tc>
          <w:tcPr>
            <w:tcW w:w="13893" w:type="dxa"/>
            <w:gridSpan w:val="5"/>
            <w:shd w:val="clear" w:color="auto" w:fill="FBD4B4" w:themeFill="accent6" w:themeFillTint="66"/>
          </w:tcPr>
          <w:p w:rsidR="006702D3" w:rsidRPr="00006492" w:rsidRDefault="006702D3" w:rsidP="0050776B">
            <w:pPr>
              <w:pStyle w:val="NoSpacing"/>
              <w:jc w:val="both"/>
              <w:rPr>
                <w:szCs w:val="26"/>
              </w:rPr>
            </w:pPr>
            <w:r w:rsidRPr="00006492">
              <w:rPr>
                <w:b/>
                <w:szCs w:val="26"/>
              </w:rPr>
              <w:t>Shorten time frame for remov</w:t>
            </w:r>
            <w:r w:rsidR="0050776B">
              <w:rPr>
                <w:b/>
                <w:szCs w:val="26"/>
              </w:rPr>
              <w:t>ing</w:t>
            </w:r>
            <w:r w:rsidRPr="00006492">
              <w:rPr>
                <w:b/>
                <w:szCs w:val="26"/>
              </w:rPr>
              <w:t xml:space="preserve"> foreign company’s name from register</w:t>
            </w:r>
          </w:p>
        </w:tc>
      </w:tr>
      <w:tr w:rsidR="006702D3" w:rsidRPr="003E6052" w:rsidTr="00E461EB">
        <w:tc>
          <w:tcPr>
            <w:tcW w:w="1126" w:type="dxa"/>
          </w:tcPr>
          <w:p w:rsidR="006702D3" w:rsidRDefault="006702D3" w:rsidP="00FF3301">
            <w:pPr>
              <w:jc w:val="center"/>
              <w:rPr>
                <w:szCs w:val="26"/>
              </w:rPr>
            </w:pPr>
            <w:r>
              <w:rPr>
                <w:szCs w:val="26"/>
              </w:rPr>
              <w:t>47</w:t>
            </w:r>
          </w:p>
        </w:tc>
        <w:tc>
          <w:tcPr>
            <w:tcW w:w="5253" w:type="dxa"/>
            <w:gridSpan w:val="2"/>
          </w:tcPr>
          <w:p w:rsidR="006702D3" w:rsidRPr="00006492" w:rsidRDefault="006702D3" w:rsidP="00FF3301">
            <w:pPr>
              <w:jc w:val="both"/>
              <w:rPr>
                <w:bCs/>
                <w:szCs w:val="26"/>
              </w:rPr>
            </w:pPr>
            <w:r>
              <w:rPr>
                <w:bCs/>
                <w:szCs w:val="26"/>
              </w:rPr>
              <w:t xml:space="preserve">A </w:t>
            </w:r>
            <w:r w:rsidRPr="00006492">
              <w:rPr>
                <w:bCs/>
                <w:szCs w:val="26"/>
              </w:rPr>
              <w:t xml:space="preserve">foreign company </w:t>
            </w:r>
            <w:r>
              <w:rPr>
                <w:bCs/>
                <w:szCs w:val="26"/>
              </w:rPr>
              <w:t xml:space="preserve">is required to file </w:t>
            </w:r>
            <w:r w:rsidRPr="00006492">
              <w:rPr>
                <w:bCs/>
                <w:szCs w:val="26"/>
              </w:rPr>
              <w:t xml:space="preserve">a notice with the Registrar within 7 days of </w:t>
            </w:r>
            <w:r>
              <w:rPr>
                <w:bCs/>
                <w:szCs w:val="26"/>
              </w:rPr>
              <w:t>its</w:t>
            </w:r>
            <w:r w:rsidRPr="00006492">
              <w:rPr>
                <w:bCs/>
                <w:szCs w:val="26"/>
              </w:rPr>
              <w:t xml:space="preserve"> cessation</w:t>
            </w:r>
            <w:r>
              <w:rPr>
                <w:bCs/>
                <w:szCs w:val="26"/>
              </w:rPr>
              <w:t xml:space="preserve"> under section 377(1)</w:t>
            </w:r>
            <w:r w:rsidRPr="00006492">
              <w:rPr>
                <w:bCs/>
                <w:szCs w:val="26"/>
              </w:rPr>
              <w:t xml:space="preserve">. However, the Registrar will only remove the name of the foreign </w:t>
            </w:r>
            <w:r w:rsidRPr="00006492">
              <w:rPr>
                <w:bCs/>
                <w:szCs w:val="26"/>
              </w:rPr>
              <w:lastRenderedPageBreak/>
              <w:t>company from the register after 12 months from the lodgement of the notice.</w:t>
            </w:r>
          </w:p>
        </w:tc>
        <w:tc>
          <w:tcPr>
            <w:tcW w:w="4395" w:type="dxa"/>
            <w:shd w:val="clear" w:color="auto" w:fill="auto"/>
          </w:tcPr>
          <w:p w:rsidR="006702D3" w:rsidRPr="00006492" w:rsidRDefault="006702D3" w:rsidP="0049790E">
            <w:pPr>
              <w:pStyle w:val="NoSpacing"/>
              <w:jc w:val="both"/>
              <w:rPr>
                <w:szCs w:val="26"/>
              </w:rPr>
            </w:pPr>
            <w:r>
              <w:rPr>
                <w:szCs w:val="26"/>
              </w:rPr>
              <w:lastRenderedPageBreak/>
              <w:t>Amend section 377(1) to s</w:t>
            </w:r>
            <w:r w:rsidRPr="00006492">
              <w:rPr>
                <w:szCs w:val="26"/>
              </w:rPr>
              <w:t xml:space="preserve">horten the time frame </w:t>
            </w:r>
            <w:r>
              <w:rPr>
                <w:szCs w:val="26"/>
              </w:rPr>
              <w:t xml:space="preserve">from 12 months to 3 months </w:t>
            </w:r>
            <w:r w:rsidRPr="00006492">
              <w:rPr>
                <w:szCs w:val="26"/>
              </w:rPr>
              <w:t>for the Registrar to remove the name of the foreign company from the register.</w:t>
            </w:r>
          </w:p>
        </w:tc>
        <w:tc>
          <w:tcPr>
            <w:tcW w:w="3119" w:type="dxa"/>
            <w:shd w:val="clear" w:color="auto" w:fill="auto"/>
          </w:tcPr>
          <w:p w:rsidR="006702D3" w:rsidRPr="00006492" w:rsidRDefault="006702D3" w:rsidP="00DE7C50">
            <w:pPr>
              <w:pStyle w:val="NoSpacing"/>
              <w:jc w:val="both"/>
              <w:rPr>
                <w:szCs w:val="26"/>
                <w:highlight w:val="yellow"/>
              </w:rPr>
            </w:pPr>
            <w:r>
              <w:rPr>
                <w:szCs w:val="26"/>
              </w:rPr>
              <w:t xml:space="preserve">There is no necessity for a 12-month timeframe since there is no </w:t>
            </w:r>
            <w:r w:rsidR="00DE7C50">
              <w:rPr>
                <w:szCs w:val="26"/>
              </w:rPr>
              <w:t xml:space="preserve">value to leave the company’s name on the </w:t>
            </w:r>
            <w:r w:rsidR="00DE7C50">
              <w:rPr>
                <w:szCs w:val="26"/>
              </w:rPr>
              <w:lastRenderedPageBreak/>
              <w:t>register.</w:t>
            </w:r>
          </w:p>
        </w:tc>
      </w:tr>
      <w:tr w:rsidR="006702D3" w:rsidRPr="003E6052" w:rsidTr="00C42E01">
        <w:tc>
          <w:tcPr>
            <w:tcW w:w="13893" w:type="dxa"/>
            <w:gridSpan w:val="5"/>
            <w:shd w:val="clear" w:color="auto" w:fill="FBD4B4" w:themeFill="accent6" w:themeFillTint="66"/>
          </w:tcPr>
          <w:p w:rsidR="006702D3" w:rsidRPr="00006492" w:rsidRDefault="006702D3" w:rsidP="00590270">
            <w:pPr>
              <w:pStyle w:val="NoSpacing"/>
              <w:jc w:val="both"/>
              <w:rPr>
                <w:b/>
                <w:szCs w:val="26"/>
              </w:rPr>
            </w:pPr>
            <w:r w:rsidRPr="00840752">
              <w:rPr>
                <w:b/>
                <w:szCs w:val="26"/>
              </w:rPr>
              <w:lastRenderedPageBreak/>
              <w:t>Expand the grounds for striking-off</w:t>
            </w:r>
            <w:r>
              <w:rPr>
                <w:b/>
                <w:szCs w:val="26"/>
              </w:rPr>
              <w:t xml:space="preserve"> foreign companies</w:t>
            </w:r>
          </w:p>
        </w:tc>
      </w:tr>
      <w:tr w:rsidR="00CA0BEF" w:rsidRPr="003E6052" w:rsidTr="00E461EB">
        <w:trPr>
          <w:trHeight w:val="150"/>
        </w:trPr>
        <w:tc>
          <w:tcPr>
            <w:tcW w:w="1126" w:type="dxa"/>
            <w:vMerge w:val="restart"/>
            <w:shd w:val="clear" w:color="auto" w:fill="auto"/>
          </w:tcPr>
          <w:p w:rsidR="00CA0BEF" w:rsidRPr="00BA462C" w:rsidRDefault="00CA0BEF" w:rsidP="00B219D9">
            <w:pPr>
              <w:pStyle w:val="NoSpacing"/>
              <w:jc w:val="center"/>
              <w:rPr>
                <w:szCs w:val="26"/>
              </w:rPr>
            </w:pPr>
            <w:r w:rsidRPr="00BA462C">
              <w:rPr>
                <w:szCs w:val="26"/>
              </w:rPr>
              <w:t>47</w:t>
            </w:r>
          </w:p>
        </w:tc>
        <w:tc>
          <w:tcPr>
            <w:tcW w:w="5253" w:type="dxa"/>
            <w:gridSpan w:val="2"/>
            <w:vMerge w:val="restart"/>
            <w:shd w:val="clear" w:color="auto" w:fill="auto"/>
          </w:tcPr>
          <w:p w:rsidR="00CA0BEF" w:rsidRPr="00BA462C" w:rsidRDefault="00CA0BEF" w:rsidP="00965D0E">
            <w:pPr>
              <w:pStyle w:val="NoSpacing"/>
              <w:jc w:val="both"/>
              <w:rPr>
                <w:szCs w:val="26"/>
              </w:rPr>
            </w:pPr>
            <w:r w:rsidRPr="00BA462C">
              <w:rPr>
                <w:szCs w:val="26"/>
              </w:rPr>
              <w:t>Section 377(6) provides for the situations where the Registrar may strike-off the name of a foreign company, i.e. where the Registrar has reasonable cause to believe that it has ceased to carry on business or to have a place of business in Singapore.</w:t>
            </w:r>
          </w:p>
          <w:p w:rsidR="00CA0BEF" w:rsidRPr="00BA462C" w:rsidRDefault="00CA0BEF" w:rsidP="00965D0E">
            <w:pPr>
              <w:pStyle w:val="NoSpacing"/>
              <w:jc w:val="both"/>
              <w:rPr>
                <w:szCs w:val="26"/>
              </w:rPr>
            </w:pPr>
          </w:p>
          <w:p w:rsidR="00CA0BEF" w:rsidRPr="00BA462C" w:rsidRDefault="00CA0BEF" w:rsidP="00965D0E">
            <w:pPr>
              <w:pStyle w:val="NoSpacing"/>
              <w:jc w:val="both"/>
              <w:rPr>
                <w:szCs w:val="26"/>
              </w:rPr>
            </w:pPr>
            <w:r w:rsidRPr="00BA462C">
              <w:rPr>
                <w:szCs w:val="26"/>
              </w:rPr>
              <w:t>Section 377(8) gives the Registrar the power to strike off a foreign company if it is being used for an unlawful purpose prejudicial to public peace, welfare, good order in Singapore, or against national security or interest.</w:t>
            </w:r>
          </w:p>
        </w:tc>
        <w:tc>
          <w:tcPr>
            <w:tcW w:w="4395" w:type="dxa"/>
            <w:shd w:val="clear" w:color="auto" w:fill="auto"/>
          </w:tcPr>
          <w:p w:rsidR="00DC619C" w:rsidRDefault="00CA0BEF" w:rsidP="00B43B35">
            <w:pPr>
              <w:pStyle w:val="NoSpacing"/>
              <w:jc w:val="both"/>
              <w:rPr>
                <w:szCs w:val="26"/>
              </w:rPr>
            </w:pPr>
            <w:r>
              <w:rPr>
                <w:szCs w:val="26"/>
              </w:rPr>
              <w:t xml:space="preserve">Repeal section </w:t>
            </w:r>
            <w:r w:rsidRPr="00BA462C">
              <w:rPr>
                <w:szCs w:val="26"/>
              </w:rPr>
              <w:t>377(6) and (8), and</w:t>
            </w:r>
            <w:r w:rsidR="00DB01DF" w:rsidRPr="00BA462C">
              <w:rPr>
                <w:szCs w:val="26"/>
              </w:rPr>
              <w:t xml:space="preserve"> re-enact section</w:t>
            </w:r>
            <w:r w:rsidR="00DC619C" w:rsidRPr="00BA462C">
              <w:rPr>
                <w:szCs w:val="26"/>
              </w:rPr>
              <w:t xml:space="preserve"> 377(8)</w:t>
            </w:r>
            <w:r w:rsidR="00302415" w:rsidRPr="00BA462C">
              <w:rPr>
                <w:szCs w:val="26"/>
              </w:rPr>
              <w:t xml:space="preserve">, </w:t>
            </w:r>
            <w:r w:rsidR="00DC619C" w:rsidRPr="00BA462C">
              <w:rPr>
                <w:szCs w:val="26"/>
              </w:rPr>
              <w:t>(8A)-(8D).</w:t>
            </w:r>
          </w:p>
          <w:p w:rsidR="00DC619C" w:rsidRDefault="00DC619C" w:rsidP="00B43B35">
            <w:pPr>
              <w:pStyle w:val="NoSpacing"/>
              <w:jc w:val="both"/>
              <w:rPr>
                <w:szCs w:val="26"/>
              </w:rPr>
            </w:pPr>
          </w:p>
          <w:p w:rsidR="00CA0BEF" w:rsidRPr="00840752" w:rsidRDefault="00DC619C" w:rsidP="00B43B35">
            <w:pPr>
              <w:pStyle w:val="NoSpacing"/>
              <w:jc w:val="both"/>
              <w:rPr>
                <w:szCs w:val="26"/>
              </w:rPr>
            </w:pPr>
            <w:r>
              <w:rPr>
                <w:szCs w:val="26"/>
              </w:rPr>
              <w:t>I</w:t>
            </w:r>
            <w:r w:rsidR="00CA0BEF">
              <w:rPr>
                <w:szCs w:val="26"/>
              </w:rPr>
              <w:t>ntroduce section 377(8A) to e</w:t>
            </w:r>
            <w:r w:rsidR="00CA0BEF" w:rsidRPr="00FD1705">
              <w:rPr>
                <w:szCs w:val="26"/>
              </w:rPr>
              <w:t>mpower the Registrar to strike-off a foreign company</w:t>
            </w:r>
            <w:r w:rsidR="00CA0BEF">
              <w:rPr>
                <w:szCs w:val="26"/>
              </w:rPr>
              <w:t xml:space="preserve"> where:</w:t>
            </w:r>
          </w:p>
          <w:p w:rsidR="00CA0BEF" w:rsidRDefault="00CA0BEF" w:rsidP="00B43B35">
            <w:pPr>
              <w:pStyle w:val="NoSpacing"/>
              <w:numPr>
                <w:ilvl w:val="0"/>
                <w:numId w:val="25"/>
              </w:numPr>
              <w:tabs>
                <w:tab w:val="left" w:pos="602"/>
              </w:tabs>
              <w:jc w:val="both"/>
              <w:rPr>
                <w:szCs w:val="26"/>
              </w:rPr>
            </w:pPr>
            <w:r>
              <w:rPr>
                <w:szCs w:val="26"/>
              </w:rPr>
              <w:t>the company has ceased to carry on business or to have a business in Singapore</w:t>
            </w:r>
            <w:r w:rsidR="006C5D80">
              <w:rPr>
                <w:szCs w:val="26"/>
              </w:rPr>
              <w:t xml:space="preserve"> </w:t>
            </w:r>
            <w:r w:rsidR="00A93584" w:rsidRPr="00A93584">
              <w:rPr>
                <w:i/>
                <w:szCs w:val="26"/>
              </w:rPr>
              <w:t>(no change);</w:t>
            </w:r>
            <w:r>
              <w:rPr>
                <w:szCs w:val="26"/>
              </w:rPr>
              <w:t xml:space="preserve"> or</w:t>
            </w:r>
          </w:p>
          <w:p w:rsidR="00E0544F" w:rsidRPr="00240E64" w:rsidRDefault="00CA0BEF" w:rsidP="00240E64">
            <w:pPr>
              <w:pStyle w:val="NoSpacing"/>
              <w:numPr>
                <w:ilvl w:val="0"/>
                <w:numId w:val="25"/>
              </w:numPr>
              <w:tabs>
                <w:tab w:val="left" w:pos="602"/>
              </w:tabs>
              <w:jc w:val="both"/>
              <w:rPr>
                <w:szCs w:val="26"/>
              </w:rPr>
            </w:pPr>
            <w:r w:rsidRPr="00E46D6F">
              <w:rPr>
                <w:szCs w:val="26"/>
              </w:rPr>
              <w:t>the foreign company</w:t>
            </w:r>
            <w:r w:rsidRPr="000A05EC">
              <w:rPr>
                <w:szCs w:val="26"/>
              </w:rPr>
              <w:t xml:space="preserve"> </w:t>
            </w:r>
            <w:r w:rsidRPr="00F17E18">
              <w:rPr>
                <w:szCs w:val="26"/>
              </w:rPr>
              <w:t>does not appoint a replacement for more than 6 months following the death of the sole authorised representative</w:t>
            </w:r>
            <w:r>
              <w:rPr>
                <w:szCs w:val="26"/>
              </w:rPr>
              <w:t>.</w:t>
            </w:r>
          </w:p>
        </w:tc>
        <w:tc>
          <w:tcPr>
            <w:tcW w:w="3119" w:type="dxa"/>
            <w:shd w:val="clear" w:color="auto" w:fill="auto"/>
          </w:tcPr>
          <w:p w:rsidR="00CA0BEF" w:rsidRPr="00A72F18" w:rsidRDefault="006C5D80" w:rsidP="006C5D80">
            <w:pPr>
              <w:pStyle w:val="NoSpacing"/>
              <w:jc w:val="both"/>
              <w:rPr>
                <w:szCs w:val="26"/>
              </w:rPr>
            </w:pPr>
            <w:r>
              <w:rPr>
                <w:szCs w:val="26"/>
              </w:rPr>
              <w:t xml:space="preserve">The additional ground for striking off a foreign company under section 377(8A)(b) </w:t>
            </w:r>
            <w:r w:rsidR="00CA0BEF">
              <w:rPr>
                <w:szCs w:val="26"/>
              </w:rPr>
              <w:t>is to address the situation where the sole authorised representative dies and the foreign company is left without an authorised representative to ensure that the company complies</w:t>
            </w:r>
            <w:r w:rsidR="00CA0BEF" w:rsidRPr="00066394">
              <w:rPr>
                <w:szCs w:val="26"/>
              </w:rPr>
              <w:t xml:space="preserve"> with the regulatory requirements in Singapore</w:t>
            </w:r>
            <w:r w:rsidR="00CA0BEF">
              <w:rPr>
                <w:szCs w:val="26"/>
              </w:rPr>
              <w:t>.</w:t>
            </w:r>
          </w:p>
        </w:tc>
      </w:tr>
      <w:tr w:rsidR="0069064F" w:rsidRPr="003E6052" w:rsidTr="00E461EB">
        <w:trPr>
          <w:trHeight w:val="150"/>
        </w:trPr>
        <w:tc>
          <w:tcPr>
            <w:tcW w:w="1126" w:type="dxa"/>
            <w:vMerge/>
            <w:shd w:val="clear" w:color="auto" w:fill="auto"/>
          </w:tcPr>
          <w:p w:rsidR="0069064F" w:rsidRPr="00006492" w:rsidRDefault="0069064F" w:rsidP="00590270">
            <w:pPr>
              <w:pStyle w:val="NoSpacing"/>
              <w:jc w:val="both"/>
              <w:rPr>
                <w:b/>
                <w:szCs w:val="26"/>
              </w:rPr>
            </w:pPr>
          </w:p>
        </w:tc>
        <w:tc>
          <w:tcPr>
            <w:tcW w:w="5253" w:type="dxa"/>
            <w:gridSpan w:val="2"/>
            <w:vMerge/>
            <w:shd w:val="clear" w:color="auto" w:fill="auto"/>
          </w:tcPr>
          <w:p w:rsidR="0069064F" w:rsidRDefault="0069064F" w:rsidP="00E46D6F">
            <w:pPr>
              <w:pStyle w:val="NoSpacing"/>
              <w:jc w:val="both"/>
              <w:rPr>
                <w:szCs w:val="26"/>
                <w:lang w:val="en-US"/>
              </w:rPr>
            </w:pPr>
          </w:p>
        </w:tc>
        <w:tc>
          <w:tcPr>
            <w:tcW w:w="4395" w:type="dxa"/>
            <w:shd w:val="clear" w:color="auto" w:fill="auto"/>
          </w:tcPr>
          <w:p w:rsidR="0069064F" w:rsidRPr="004D5E71" w:rsidRDefault="0069064F" w:rsidP="0069064F">
            <w:pPr>
              <w:pStyle w:val="NoSpacing"/>
              <w:tabs>
                <w:tab w:val="left" w:pos="602"/>
              </w:tabs>
              <w:jc w:val="both"/>
              <w:rPr>
                <w:szCs w:val="26"/>
              </w:rPr>
            </w:pPr>
            <w:r>
              <w:rPr>
                <w:szCs w:val="26"/>
              </w:rPr>
              <w:t xml:space="preserve">Introduce section 377(8B) to empower the Registrar to strike-off a foreign company </w:t>
            </w:r>
            <w:r w:rsidRPr="004D5E71">
              <w:rPr>
                <w:szCs w:val="26"/>
                <w:u w:val="single"/>
              </w:rPr>
              <w:t xml:space="preserve">upon the application of the sole authorised representative of the </w:t>
            </w:r>
            <w:r>
              <w:rPr>
                <w:szCs w:val="26"/>
                <w:u w:val="single"/>
              </w:rPr>
              <w:t>foreign company</w:t>
            </w:r>
            <w:r>
              <w:rPr>
                <w:szCs w:val="26"/>
              </w:rPr>
              <w:t xml:space="preserve"> where:</w:t>
            </w:r>
          </w:p>
          <w:p w:rsidR="0069064F" w:rsidRPr="00840752" w:rsidRDefault="0069064F" w:rsidP="0069064F">
            <w:pPr>
              <w:pStyle w:val="NoSpacing"/>
              <w:numPr>
                <w:ilvl w:val="0"/>
                <w:numId w:val="25"/>
              </w:numPr>
              <w:tabs>
                <w:tab w:val="left" w:pos="602"/>
              </w:tabs>
              <w:jc w:val="both"/>
              <w:rPr>
                <w:szCs w:val="26"/>
              </w:rPr>
            </w:pPr>
            <w:r w:rsidRPr="00E46D6F">
              <w:rPr>
                <w:szCs w:val="26"/>
              </w:rPr>
              <w:t xml:space="preserve">the sole authorised representative has given notice of resignation to the foreign company and lodged a notice with the Registrar but </w:t>
            </w:r>
            <w:r w:rsidRPr="00840752">
              <w:rPr>
                <w:szCs w:val="26"/>
              </w:rPr>
              <w:t xml:space="preserve">the company has failed to respond or </w:t>
            </w:r>
            <w:r>
              <w:rPr>
                <w:szCs w:val="26"/>
              </w:rPr>
              <w:t>appoint another authorised representative</w:t>
            </w:r>
            <w:r w:rsidRPr="00840752">
              <w:rPr>
                <w:szCs w:val="26"/>
              </w:rPr>
              <w:t xml:space="preserve"> within a period of 12 months</w:t>
            </w:r>
            <w:r>
              <w:rPr>
                <w:szCs w:val="26"/>
              </w:rPr>
              <w:t>; or</w:t>
            </w:r>
          </w:p>
          <w:p w:rsidR="00E0544F" w:rsidRDefault="0069064F">
            <w:pPr>
              <w:pStyle w:val="NoSpacing"/>
              <w:numPr>
                <w:ilvl w:val="0"/>
                <w:numId w:val="25"/>
              </w:numPr>
              <w:tabs>
                <w:tab w:val="left" w:pos="602"/>
              </w:tabs>
              <w:jc w:val="both"/>
              <w:rPr>
                <w:szCs w:val="26"/>
              </w:rPr>
            </w:pPr>
            <w:r w:rsidRPr="0069064F">
              <w:rPr>
                <w:szCs w:val="26"/>
              </w:rPr>
              <w:lastRenderedPageBreak/>
              <w:t>an authorised representative of a foreign company, has received no instructions from that company within 12 months of a request being made by the authorised representative regarding whether the foreign company intends to continue its registration in Singapore.</w:t>
            </w:r>
          </w:p>
        </w:tc>
        <w:tc>
          <w:tcPr>
            <w:tcW w:w="3119" w:type="dxa"/>
            <w:shd w:val="clear" w:color="auto" w:fill="auto"/>
          </w:tcPr>
          <w:p w:rsidR="0069064F" w:rsidRPr="00FD1705" w:rsidRDefault="0069064F" w:rsidP="00A9066D">
            <w:pPr>
              <w:pStyle w:val="NoSpacing"/>
              <w:jc w:val="both"/>
              <w:rPr>
                <w:szCs w:val="26"/>
              </w:rPr>
            </w:pPr>
            <w:r w:rsidRPr="00FD1705">
              <w:rPr>
                <w:szCs w:val="26"/>
              </w:rPr>
              <w:lastRenderedPageBreak/>
              <w:t xml:space="preserve">As an </w:t>
            </w:r>
            <w:r>
              <w:rPr>
                <w:szCs w:val="26"/>
              </w:rPr>
              <w:t>authorised representative</w:t>
            </w:r>
            <w:r w:rsidRPr="00FD1705">
              <w:rPr>
                <w:szCs w:val="26"/>
              </w:rPr>
              <w:t xml:space="preserve"> is personally liable for the penalties incurred by the foreign company in Singapore, an </w:t>
            </w:r>
            <w:r>
              <w:rPr>
                <w:szCs w:val="26"/>
              </w:rPr>
              <w:t>authorised representative will be allowed to apply to strike off a foreign company on these grounds</w:t>
            </w:r>
            <w:r w:rsidRPr="00FD1705">
              <w:rPr>
                <w:szCs w:val="26"/>
              </w:rPr>
              <w:t>.</w:t>
            </w:r>
          </w:p>
        </w:tc>
      </w:tr>
      <w:tr w:rsidR="00CA0BEF" w:rsidRPr="003E6052" w:rsidTr="00E461EB">
        <w:trPr>
          <w:trHeight w:val="150"/>
        </w:trPr>
        <w:tc>
          <w:tcPr>
            <w:tcW w:w="1126" w:type="dxa"/>
            <w:vMerge/>
            <w:shd w:val="clear" w:color="auto" w:fill="auto"/>
          </w:tcPr>
          <w:p w:rsidR="00CA0BEF" w:rsidRPr="00006492" w:rsidRDefault="00CA0BEF" w:rsidP="00590270">
            <w:pPr>
              <w:pStyle w:val="NoSpacing"/>
              <w:jc w:val="both"/>
              <w:rPr>
                <w:b/>
                <w:szCs w:val="26"/>
              </w:rPr>
            </w:pPr>
          </w:p>
        </w:tc>
        <w:tc>
          <w:tcPr>
            <w:tcW w:w="5253" w:type="dxa"/>
            <w:gridSpan w:val="2"/>
            <w:vMerge/>
            <w:shd w:val="clear" w:color="auto" w:fill="auto"/>
          </w:tcPr>
          <w:p w:rsidR="00CA0BEF" w:rsidRDefault="00CA0BEF" w:rsidP="00E46D6F">
            <w:pPr>
              <w:pStyle w:val="NoSpacing"/>
              <w:jc w:val="both"/>
              <w:rPr>
                <w:szCs w:val="26"/>
                <w:lang w:val="en-US"/>
              </w:rPr>
            </w:pPr>
          </w:p>
        </w:tc>
        <w:tc>
          <w:tcPr>
            <w:tcW w:w="4395" w:type="dxa"/>
            <w:shd w:val="clear" w:color="auto" w:fill="auto"/>
          </w:tcPr>
          <w:p w:rsidR="00290E28" w:rsidRPr="00833EB5" w:rsidRDefault="0069064F" w:rsidP="004379F7">
            <w:pPr>
              <w:pStyle w:val="NoSpacing"/>
              <w:tabs>
                <w:tab w:val="left" w:pos="602"/>
              </w:tabs>
              <w:jc w:val="both"/>
              <w:rPr>
                <w:rFonts w:eastAsiaTheme="majorEastAsia"/>
                <w:bCs/>
                <w:szCs w:val="26"/>
              </w:rPr>
            </w:pPr>
            <w:r w:rsidRPr="007B2AA0">
              <w:rPr>
                <w:szCs w:val="26"/>
              </w:rPr>
              <w:t xml:space="preserve">Introduce section 377(8C) </w:t>
            </w:r>
            <w:r w:rsidR="00290E28">
              <w:rPr>
                <w:szCs w:val="26"/>
              </w:rPr>
              <w:t xml:space="preserve">to provide that regulations </w:t>
            </w:r>
            <w:r w:rsidR="004379F7">
              <w:rPr>
                <w:szCs w:val="26"/>
              </w:rPr>
              <w:t xml:space="preserve">may </w:t>
            </w:r>
            <w:r w:rsidR="00290E28">
              <w:rPr>
                <w:szCs w:val="26"/>
              </w:rPr>
              <w:t>set out the circumstances for the Registrar to determine</w:t>
            </w:r>
            <w:r w:rsidRPr="007B2AA0">
              <w:rPr>
                <w:szCs w:val="26"/>
              </w:rPr>
              <w:t xml:space="preserve"> whether or not a company is carrying on business.</w:t>
            </w:r>
          </w:p>
        </w:tc>
        <w:tc>
          <w:tcPr>
            <w:tcW w:w="3119" w:type="dxa"/>
            <w:shd w:val="clear" w:color="auto" w:fill="auto"/>
          </w:tcPr>
          <w:p w:rsidR="00CA0BEF" w:rsidRPr="00783534" w:rsidRDefault="003D48F8" w:rsidP="003D48F8">
            <w:pPr>
              <w:pStyle w:val="NoSpacing"/>
              <w:jc w:val="both"/>
              <w:rPr>
                <w:szCs w:val="26"/>
                <w:lang w:val="en-US"/>
              </w:rPr>
            </w:pPr>
            <w:r>
              <w:rPr>
                <w:szCs w:val="26"/>
              </w:rPr>
              <w:t>Prescription of the circumstances will provide greater transparency.</w:t>
            </w:r>
          </w:p>
        </w:tc>
      </w:tr>
      <w:tr w:rsidR="006702D3" w:rsidRPr="003E6052" w:rsidTr="00E461EB">
        <w:trPr>
          <w:trHeight w:val="150"/>
        </w:trPr>
        <w:tc>
          <w:tcPr>
            <w:tcW w:w="1126" w:type="dxa"/>
            <w:shd w:val="clear" w:color="auto" w:fill="auto"/>
          </w:tcPr>
          <w:p w:rsidR="006702D3" w:rsidRPr="008F6F83" w:rsidRDefault="006702D3" w:rsidP="00590270">
            <w:pPr>
              <w:pStyle w:val="NoSpacing"/>
              <w:jc w:val="both"/>
              <w:rPr>
                <w:szCs w:val="26"/>
              </w:rPr>
            </w:pPr>
            <w:r w:rsidRPr="002154DC">
              <w:rPr>
                <w:szCs w:val="26"/>
              </w:rPr>
              <w:t>48</w:t>
            </w:r>
          </w:p>
        </w:tc>
        <w:tc>
          <w:tcPr>
            <w:tcW w:w="5253" w:type="dxa"/>
            <w:gridSpan w:val="2"/>
            <w:shd w:val="clear" w:color="auto" w:fill="auto"/>
          </w:tcPr>
          <w:p w:rsidR="006702D3" w:rsidRPr="00A72F18" w:rsidRDefault="006702D3" w:rsidP="00E704F7">
            <w:pPr>
              <w:pStyle w:val="NoSpacing"/>
              <w:jc w:val="both"/>
              <w:rPr>
                <w:szCs w:val="26"/>
              </w:rPr>
            </w:pPr>
            <w:r w:rsidRPr="00E704F7">
              <w:rPr>
                <w:szCs w:val="26"/>
                <w:lang w:val="en-US"/>
              </w:rPr>
              <w:t>Section 377(8) allows the Registrar to strike off a foreign company from the register if he is satisfied that the foreign company is being used for an unlawful purpose or for a purpose prejudicial to public peace, welfare or good order in Singapore or against national security or interest.</w:t>
            </w:r>
          </w:p>
        </w:tc>
        <w:tc>
          <w:tcPr>
            <w:tcW w:w="4395" w:type="dxa"/>
            <w:shd w:val="clear" w:color="auto" w:fill="auto"/>
          </w:tcPr>
          <w:p w:rsidR="006702D3" w:rsidRPr="00A72F18" w:rsidRDefault="006702D3" w:rsidP="00E704F7">
            <w:pPr>
              <w:pStyle w:val="NoSpacing"/>
              <w:jc w:val="both"/>
              <w:rPr>
                <w:szCs w:val="26"/>
              </w:rPr>
            </w:pPr>
            <w:r w:rsidRPr="00E704F7">
              <w:rPr>
                <w:szCs w:val="26"/>
              </w:rPr>
              <w:t xml:space="preserve">Introduce </w:t>
            </w:r>
            <w:r w:rsidRPr="00E704F7">
              <w:rPr>
                <w:szCs w:val="26"/>
                <w:lang w:val="en-US"/>
              </w:rPr>
              <w:t>sections 377A to 377D to give the Registrar the power to restore the registration of a foreign company that is struck off except when it is struck off on the grounds that the company is being used for an unlawful purpose or for a purpose prejudicial to public peace, welfare or good order in Singapore or against national security or interest.</w:t>
            </w:r>
          </w:p>
        </w:tc>
        <w:tc>
          <w:tcPr>
            <w:tcW w:w="3119" w:type="dxa"/>
            <w:shd w:val="clear" w:color="auto" w:fill="auto"/>
          </w:tcPr>
          <w:p w:rsidR="006702D3" w:rsidRPr="00E704F7" w:rsidRDefault="006702D3" w:rsidP="00E704F7">
            <w:pPr>
              <w:pStyle w:val="NoSpacing"/>
              <w:jc w:val="both"/>
              <w:rPr>
                <w:szCs w:val="26"/>
                <w:lang w:val="en-US"/>
              </w:rPr>
            </w:pPr>
            <w:r w:rsidRPr="00E704F7">
              <w:rPr>
                <w:szCs w:val="26"/>
                <w:lang w:val="en-US"/>
              </w:rPr>
              <w:t>For consistency with the new powers given to the Registrar to restore Singapore-incorporated companies under the amendments proposed in the first part of the draft Bill, which was published for public feedback in May 2013</w:t>
            </w:r>
            <w:r w:rsidR="00CA0BEF" w:rsidRPr="00E704F7">
              <w:rPr>
                <w:szCs w:val="26"/>
                <w:lang w:val="en-US"/>
              </w:rPr>
              <w:t>.</w:t>
            </w:r>
          </w:p>
          <w:p w:rsidR="006702D3" w:rsidRPr="00E704F7" w:rsidRDefault="006702D3" w:rsidP="00E704F7">
            <w:pPr>
              <w:pStyle w:val="NoSpacing"/>
              <w:jc w:val="both"/>
              <w:rPr>
                <w:szCs w:val="26"/>
                <w:lang w:val="en-US"/>
              </w:rPr>
            </w:pPr>
          </w:p>
          <w:p w:rsidR="006702D3" w:rsidRPr="00E704F7" w:rsidRDefault="006702D3" w:rsidP="00E704F7">
            <w:pPr>
              <w:pStyle w:val="NoSpacing"/>
              <w:jc w:val="both"/>
              <w:rPr>
                <w:i/>
                <w:szCs w:val="26"/>
                <w:u w:val="single"/>
              </w:rPr>
            </w:pPr>
            <w:r w:rsidRPr="00E704F7">
              <w:rPr>
                <w:i/>
                <w:szCs w:val="26"/>
                <w:u w:val="single"/>
              </w:rPr>
              <w:t>Consultation question 5</w:t>
            </w:r>
          </w:p>
          <w:p w:rsidR="006702D3" w:rsidRPr="00E704F7" w:rsidRDefault="006702D3" w:rsidP="00E704F7">
            <w:pPr>
              <w:pStyle w:val="NoSpacing"/>
              <w:jc w:val="both"/>
              <w:rPr>
                <w:b/>
                <w:szCs w:val="26"/>
              </w:rPr>
            </w:pPr>
            <w:r w:rsidRPr="00E704F7">
              <w:rPr>
                <w:i/>
                <w:szCs w:val="26"/>
              </w:rPr>
              <w:t xml:space="preserve">We would like to seek comments on whether provisions for restoration of foreign companies which </w:t>
            </w:r>
            <w:r w:rsidRPr="00E704F7">
              <w:rPr>
                <w:i/>
                <w:szCs w:val="26"/>
              </w:rPr>
              <w:lastRenderedPageBreak/>
              <w:t>have been struck off should be introduced or whether it is adequate that foreign companies which have been struck off can apply to be registered again.</w:t>
            </w:r>
          </w:p>
        </w:tc>
      </w:tr>
      <w:tr w:rsidR="006702D3" w:rsidRPr="003E6052" w:rsidTr="00C42E01">
        <w:tc>
          <w:tcPr>
            <w:tcW w:w="13893" w:type="dxa"/>
            <w:gridSpan w:val="5"/>
            <w:shd w:val="clear" w:color="auto" w:fill="FBD4B4" w:themeFill="accent6" w:themeFillTint="66"/>
          </w:tcPr>
          <w:p w:rsidR="006702D3" w:rsidRPr="00A76C02" w:rsidRDefault="006702D3" w:rsidP="00EB51E5">
            <w:pPr>
              <w:pStyle w:val="NoSpacing"/>
              <w:jc w:val="both"/>
              <w:rPr>
                <w:szCs w:val="26"/>
              </w:rPr>
            </w:pPr>
            <w:r w:rsidRPr="00A76C02">
              <w:rPr>
                <w:b/>
                <w:szCs w:val="26"/>
              </w:rPr>
              <w:lastRenderedPageBreak/>
              <w:t>Restriction on names of foreign companies</w:t>
            </w:r>
          </w:p>
        </w:tc>
      </w:tr>
      <w:tr w:rsidR="006702D3" w:rsidRPr="003E6052" w:rsidTr="00E461EB">
        <w:tc>
          <w:tcPr>
            <w:tcW w:w="1126" w:type="dxa"/>
          </w:tcPr>
          <w:p w:rsidR="006702D3" w:rsidRDefault="006702D3">
            <w:pPr>
              <w:jc w:val="center"/>
              <w:rPr>
                <w:szCs w:val="26"/>
              </w:rPr>
            </w:pPr>
            <w:r>
              <w:rPr>
                <w:szCs w:val="26"/>
              </w:rPr>
              <w:t>49</w:t>
            </w:r>
          </w:p>
        </w:tc>
        <w:tc>
          <w:tcPr>
            <w:tcW w:w="5253" w:type="dxa"/>
            <w:gridSpan w:val="2"/>
          </w:tcPr>
          <w:p w:rsidR="006702D3" w:rsidRPr="00A76C02" w:rsidRDefault="006702D3" w:rsidP="00D241E0">
            <w:pPr>
              <w:jc w:val="both"/>
              <w:rPr>
                <w:bCs/>
                <w:szCs w:val="26"/>
              </w:rPr>
            </w:pPr>
            <w:r>
              <w:rPr>
                <w:bCs/>
                <w:szCs w:val="26"/>
              </w:rPr>
              <w:t xml:space="preserve">Section </w:t>
            </w:r>
            <w:r w:rsidRPr="00A76C02">
              <w:rPr>
                <w:bCs/>
                <w:szCs w:val="26"/>
              </w:rPr>
              <w:t>378</w:t>
            </w:r>
            <w:r>
              <w:rPr>
                <w:bCs/>
                <w:szCs w:val="26"/>
              </w:rPr>
              <w:t xml:space="preserve"> restricts foreign companies from registering a name, </w:t>
            </w:r>
            <w:r w:rsidRPr="00A76C02">
              <w:rPr>
                <w:bCs/>
                <w:szCs w:val="26"/>
              </w:rPr>
              <w:t xml:space="preserve">which in the opinion of the Registrar is undesirable or is one which the Minister has directed the Registrar not to accept. There is </w:t>
            </w:r>
            <w:r>
              <w:rPr>
                <w:bCs/>
                <w:szCs w:val="26"/>
              </w:rPr>
              <w:t xml:space="preserve">no power for the Registrar to reject </w:t>
            </w:r>
            <w:r w:rsidRPr="00A76C02">
              <w:rPr>
                <w:bCs/>
                <w:szCs w:val="26"/>
              </w:rPr>
              <w:t xml:space="preserve">identical names or direct name change for </w:t>
            </w:r>
            <w:r>
              <w:rPr>
                <w:bCs/>
                <w:szCs w:val="26"/>
              </w:rPr>
              <w:t xml:space="preserve">identical </w:t>
            </w:r>
            <w:r w:rsidRPr="00A76C02">
              <w:rPr>
                <w:bCs/>
                <w:szCs w:val="26"/>
              </w:rPr>
              <w:t xml:space="preserve">names, unlike in the case of </w:t>
            </w:r>
            <w:r>
              <w:rPr>
                <w:bCs/>
                <w:szCs w:val="26"/>
              </w:rPr>
              <w:t>Singapore-incorporated</w:t>
            </w:r>
            <w:r w:rsidRPr="00A76C02">
              <w:rPr>
                <w:bCs/>
                <w:szCs w:val="26"/>
              </w:rPr>
              <w:t xml:space="preserve"> companies.</w:t>
            </w:r>
          </w:p>
        </w:tc>
        <w:tc>
          <w:tcPr>
            <w:tcW w:w="4395" w:type="dxa"/>
            <w:shd w:val="clear" w:color="auto" w:fill="auto"/>
          </w:tcPr>
          <w:p w:rsidR="006702D3" w:rsidRDefault="006702D3" w:rsidP="00D241E0">
            <w:pPr>
              <w:pStyle w:val="NoSpacing"/>
              <w:jc w:val="both"/>
              <w:rPr>
                <w:szCs w:val="26"/>
              </w:rPr>
            </w:pPr>
            <w:r>
              <w:rPr>
                <w:szCs w:val="26"/>
              </w:rPr>
              <w:t xml:space="preserve">Repeal and re-enact section 378 to empower </w:t>
            </w:r>
            <w:r w:rsidRPr="00A76C02">
              <w:rPr>
                <w:szCs w:val="26"/>
              </w:rPr>
              <w:t>the Registrar to</w:t>
            </w:r>
            <w:r w:rsidR="0078318F">
              <w:rPr>
                <w:szCs w:val="26"/>
              </w:rPr>
              <w:t>:</w:t>
            </w:r>
          </w:p>
          <w:p w:rsidR="006702D3" w:rsidRDefault="006702D3">
            <w:pPr>
              <w:pStyle w:val="NoSpacing"/>
              <w:numPr>
                <w:ilvl w:val="0"/>
                <w:numId w:val="25"/>
              </w:numPr>
              <w:jc w:val="both"/>
              <w:rPr>
                <w:szCs w:val="26"/>
              </w:rPr>
            </w:pPr>
            <w:r w:rsidRPr="000A05EC">
              <w:rPr>
                <w:szCs w:val="26"/>
                <w:u w:val="single"/>
              </w:rPr>
              <w:t>reject the registration of a name</w:t>
            </w:r>
            <w:r w:rsidRPr="00A76C02">
              <w:rPr>
                <w:szCs w:val="26"/>
              </w:rPr>
              <w:t xml:space="preserve"> where the name of the foreign company is identical to the name of any other business vehicle already registered </w:t>
            </w:r>
            <w:r>
              <w:rPr>
                <w:szCs w:val="26"/>
              </w:rPr>
              <w:t xml:space="preserve">or reserved </w:t>
            </w:r>
            <w:r w:rsidRPr="00A76C02">
              <w:rPr>
                <w:szCs w:val="26"/>
              </w:rPr>
              <w:t>in Singapore</w:t>
            </w:r>
            <w:r w:rsidR="00A00781">
              <w:rPr>
                <w:szCs w:val="26"/>
              </w:rPr>
              <w:t>;</w:t>
            </w:r>
            <w:r w:rsidRPr="00A76C02">
              <w:rPr>
                <w:szCs w:val="26"/>
              </w:rPr>
              <w:t xml:space="preserve"> or</w:t>
            </w:r>
          </w:p>
          <w:p w:rsidR="006702D3" w:rsidRDefault="006702D3">
            <w:pPr>
              <w:pStyle w:val="NoSpacing"/>
              <w:numPr>
                <w:ilvl w:val="0"/>
                <w:numId w:val="25"/>
              </w:numPr>
              <w:jc w:val="both"/>
              <w:rPr>
                <w:szCs w:val="26"/>
              </w:rPr>
            </w:pPr>
            <w:r w:rsidRPr="000A05EC">
              <w:rPr>
                <w:szCs w:val="26"/>
                <w:u w:val="single"/>
              </w:rPr>
              <w:t>to direct a change of name</w:t>
            </w:r>
            <w:r w:rsidRPr="00A76C02">
              <w:rPr>
                <w:szCs w:val="26"/>
              </w:rPr>
              <w:t xml:space="preserve"> in such a case, or where that name is identical to any other corporation or business name</w:t>
            </w:r>
            <w:r>
              <w:rPr>
                <w:szCs w:val="26"/>
              </w:rPr>
              <w:t xml:space="preserve"> (but not on grounds that it is similar or on its use has been restrained by an injunction granted under the Trade Marks Act).</w:t>
            </w:r>
          </w:p>
          <w:p w:rsidR="006702D3" w:rsidRDefault="006702D3" w:rsidP="00937222">
            <w:pPr>
              <w:pStyle w:val="NoSpacing"/>
              <w:jc w:val="both"/>
              <w:rPr>
                <w:szCs w:val="26"/>
              </w:rPr>
            </w:pPr>
          </w:p>
          <w:p w:rsidR="006702D3" w:rsidRPr="00A76C02" w:rsidRDefault="006702D3" w:rsidP="00A00781">
            <w:pPr>
              <w:pStyle w:val="NoSpacing"/>
              <w:jc w:val="both"/>
              <w:rPr>
                <w:szCs w:val="26"/>
              </w:rPr>
            </w:pPr>
            <w:r>
              <w:rPr>
                <w:szCs w:val="26"/>
              </w:rPr>
              <w:t>An avenue for appeal to the Minister is provided.</w:t>
            </w:r>
          </w:p>
        </w:tc>
        <w:tc>
          <w:tcPr>
            <w:tcW w:w="3119" w:type="dxa"/>
            <w:shd w:val="clear" w:color="auto" w:fill="auto"/>
          </w:tcPr>
          <w:p w:rsidR="006702D3" w:rsidRDefault="006702D3" w:rsidP="00776E31">
            <w:pPr>
              <w:pStyle w:val="NoSpacing"/>
              <w:jc w:val="both"/>
              <w:rPr>
                <w:szCs w:val="26"/>
              </w:rPr>
            </w:pPr>
            <w:r w:rsidRPr="00776E31">
              <w:rPr>
                <w:szCs w:val="26"/>
              </w:rPr>
              <w:t>For consistency with the requirement</w:t>
            </w:r>
            <w:r>
              <w:rPr>
                <w:szCs w:val="26"/>
              </w:rPr>
              <w:t>s</w:t>
            </w:r>
            <w:r w:rsidRPr="00776E31">
              <w:rPr>
                <w:szCs w:val="26"/>
              </w:rPr>
              <w:t xml:space="preserve"> for </w:t>
            </w:r>
            <w:r>
              <w:rPr>
                <w:szCs w:val="26"/>
              </w:rPr>
              <w:t>Singapore-incorporated</w:t>
            </w:r>
            <w:r w:rsidRPr="00776E31">
              <w:rPr>
                <w:szCs w:val="26"/>
              </w:rPr>
              <w:t xml:space="preserve"> companies</w:t>
            </w:r>
            <w:r>
              <w:rPr>
                <w:szCs w:val="26"/>
              </w:rPr>
              <w:t xml:space="preserve"> and to avoid </w:t>
            </w:r>
            <w:r w:rsidRPr="00A76C02">
              <w:rPr>
                <w:szCs w:val="26"/>
              </w:rPr>
              <w:t>potential confusion by person</w:t>
            </w:r>
            <w:r>
              <w:rPr>
                <w:szCs w:val="26"/>
              </w:rPr>
              <w:t>s</w:t>
            </w:r>
            <w:r w:rsidRPr="00A76C02">
              <w:rPr>
                <w:szCs w:val="26"/>
              </w:rPr>
              <w:t xml:space="preserve"> dealing with the </w:t>
            </w:r>
            <w:r>
              <w:rPr>
                <w:szCs w:val="26"/>
              </w:rPr>
              <w:t xml:space="preserve">foreign </w:t>
            </w:r>
            <w:r w:rsidRPr="00A76C02">
              <w:rPr>
                <w:szCs w:val="26"/>
              </w:rPr>
              <w:t>companies.</w:t>
            </w:r>
          </w:p>
          <w:p w:rsidR="006702D3" w:rsidRDefault="006702D3" w:rsidP="00776E31">
            <w:pPr>
              <w:pStyle w:val="NoSpacing"/>
              <w:jc w:val="both"/>
              <w:rPr>
                <w:szCs w:val="26"/>
              </w:rPr>
            </w:pPr>
          </w:p>
          <w:p w:rsidR="006702D3" w:rsidRPr="00EC1EEE" w:rsidRDefault="006702D3" w:rsidP="001A7021">
            <w:pPr>
              <w:jc w:val="both"/>
              <w:rPr>
                <w:i/>
                <w:szCs w:val="26"/>
                <w:u w:val="single"/>
              </w:rPr>
            </w:pPr>
            <w:r w:rsidRPr="003C307A">
              <w:rPr>
                <w:i/>
                <w:szCs w:val="26"/>
                <w:u w:val="single"/>
              </w:rPr>
              <w:t>Consultation question 6</w:t>
            </w:r>
          </w:p>
          <w:p w:rsidR="006702D3" w:rsidRPr="00A76C02" w:rsidRDefault="006702D3" w:rsidP="0060326D">
            <w:pPr>
              <w:jc w:val="both"/>
              <w:rPr>
                <w:szCs w:val="26"/>
                <w:highlight w:val="yellow"/>
              </w:rPr>
            </w:pPr>
            <w:r w:rsidRPr="001A7021">
              <w:rPr>
                <w:i/>
                <w:szCs w:val="26"/>
              </w:rPr>
              <w:t xml:space="preserve">We would like to seek comments on whether it is appropriate that the powers of the Registrar to direct a change of name for foreign companies should apply to situations </w:t>
            </w:r>
            <w:r>
              <w:rPr>
                <w:i/>
                <w:szCs w:val="26"/>
              </w:rPr>
              <w:t xml:space="preserve">only </w:t>
            </w:r>
            <w:r w:rsidRPr="001A7021">
              <w:rPr>
                <w:i/>
                <w:szCs w:val="26"/>
              </w:rPr>
              <w:t>where the name is undesirable</w:t>
            </w:r>
            <w:r>
              <w:rPr>
                <w:i/>
                <w:szCs w:val="26"/>
              </w:rPr>
              <w:t>, identical</w:t>
            </w:r>
            <w:r w:rsidRPr="001A7021">
              <w:rPr>
                <w:i/>
                <w:szCs w:val="26"/>
              </w:rPr>
              <w:t xml:space="preserve"> </w:t>
            </w:r>
            <w:r>
              <w:rPr>
                <w:i/>
                <w:szCs w:val="26"/>
              </w:rPr>
              <w:t xml:space="preserve">to a registered or reserved name </w:t>
            </w:r>
            <w:r w:rsidRPr="001A7021">
              <w:rPr>
                <w:i/>
                <w:szCs w:val="26"/>
              </w:rPr>
              <w:t xml:space="preserve">or </w:t>
            </w:r>
            <w:r>
              <w:rPr>
                <w:i/>
                <w:szCs w:val="26"/>
              </w:rPr>
              <w:t>a name</w:t>
            </w:r>
            <w:r w:rsidRPr="001A7021">
              <w:rPr>
                <w:i/>
                <w:szCs w:val="26"/>
              </w:rPr>
              <w:t xml:space="preserve"> that the Minister </w:t>
            </w:r>
            <w:r>
              <w:rPr>
                <w:i/>
                <w:szCs w:val="26"/>
              </w:rPr>
              <w:t>had directed should not be used.</w:t>
            </w:r>
          </w:p>
        </w:tc>
      </w:tr>
      <w:tr w:rsidR="006702D3" w:rsidRPr="003E6052" w:rsidTr="00C42E01">
        <w:tc>
          <w:tcPr>
            <w:tcW w:w="13893" w:type="dxa"/>
            <w:gridSpan w:val="5"/>
            <w:shd w:val="clear" w:color="auto" w:fill="FBD4B4" w:themeFill="accent6" w:themeFillTint="66"/>
          </w:tcPr>
          <w:p w:rsidR="006702D3" w:rsidRPr="00EE071D" w:rsidRDefault="006702D3" w:rsidP="00252735">
            <w:pPr>
              <w:jc w:val="both"/>
              <w:rPr>
                <w:b/>
                <w:bCs/>
                <w:szCs w:val="26"/>
                <w:lang w:eastAsia="en-GB"/>
              </w:rPr>
            </w:pPr>
            <w:r w:rsidRPr="00006492">
              <w:rPr>
                <w:b/>
                <w:szCs w:val="26"/>
              </w:rPr>
              <w:lastRenderedPageBreak/>
              <w:t>Standardise timelines for lodgement of documents</w:t>
            </w:r>
          </w:p>
        </w:tc>
      </w:tr>
      <w:tr w:rsidR="006702D3" w:rsidRPr="003E6052" w:rsidTr="002A2454">
        <w:trPr>
          <w:trHeight w:val="150"/>
        </w:trPr>
        <w:tc>
          <w:tcPr>
            <w:tcW w:w="1126" w:type="dxa"/>
            <w:vMerge w:val="restart"/>
            <w:shd w:val="clear" w:color="auto" w:fill="auto"/>
          </w:tcPr>
          <w:p w:rsidR="006702D3" w:rsidRDefault="006702D3" w:rsidP="00600EC4">
            <w:pPr>
              <w:jc w:val="center"/>
              <w:rPr>
                <w:szCs w:val="26"/>
              </w:rPr>
            </w:pPr>
            <w:r>
              <w:rPr>
                <w:szCs w:val="26"/>
              </w:rPr>
              <w:t>47 &amp; 50</w:t>
            </w:r>
          </w:p>
        </w:tc>
        <w:tc>
          <w:tcPr>
            <w:tcW w:w="5253" w:type="dxa"/>
            <w:gridSpan w:val="2"/>
            <w:shd w:val="clear" w:color="auto" w:fill="auto"/>
          </w:tcPr>
          <w:p w:rsidR="006702D3" w:rsidRPr="0094622B" w:rsidRDefault="006702D3" w:rsidP="00776312">
            <w:pPr>
              <w:jc w:val="both"/>
              <w:rPr>
                <w:bCs/>
                <w:szCs w:val="26"/>
              </w:rPr>
            </w:pPr>
            <w:r w:rsidRPr="0094622B">
              <w:rPr>
                <w:bCs/>
                <w:szCs w:val="26"/>
              </w:rPr>
              <w:t>Under section 377(2)</w:t>
            </w:r>
            <w:r w:rsidR="00776312">
              <w:rPr>
                <w:bCs/>
                <w:szCs w:val="26"/>
              </w:rPr>
              <w:t>(a)</w:t>
            </w:r>
            <w:r w:rsidRPr="0094622B">
              <w:rPr>
                <w:bCs/>
                <w:szCs w:val="26"/>
              </w:rPr>
              <w:t xml:space="preserve">, the agent is permitted to </w:t>
            </w:r>
            <w:r>
              <w:rPr>
                <w:bCs/>
                <w:szCs w:val="26"/>
              </w:rPr>
              <w:t xml:space="preserve">file </w:t>
            </w:r>
            <w:r w:rsidRPr="0094622B">
              <w:rPr>
                <w:bCs/>
                <w:szCs w:val="26"/>
              </w:rPr>
              <w:t>a notice of a foreign company’s liquidation and dissolution within 1 month after commencement of the liquidation and from the date of the dissolution respectively.</w:t>
            </w:r>
          </w:p>
        </w:tc>
        <w:tc>
          <w:tcPr>
            <w:tcW w:w="4395" w:type="dxa"/>
            <w:shd w:val="clear" w:color="auto" w:fill="auto"/>
          </w:tcPr>
          <w:p w:rsidR="006702D3" w:rsidRDefault="006702D3" w:rsidP="00183E81">
            <w:pPr>
              <w:pStyle w:val="NoSpacing"/>
              <w:jc w:val="both"/>
            </w:pPr>
            <w:r>
              <w:t>Amend section 377(2)</w:t>
            </w:r>
            <w:r w:rsidR="00776312">
              <w:t>(a)</w:t>
            </w:r>
            <w:r>
              <w:t xml:space="preserve"> to shorten the timeframe for filing </w:t>
            </w:r>
            <w:r w:rsidRPr="0094622B">
              <w:t xml:space="preserve">a notice of liquidation and dissolution </w:t>
            </w:r>
            <w:r>
              <w:t>to 14 days.</w:t>
            </w:r>
          </w:p>
        </w:tc>
        <w:tc>
          <w:tcPr>
            <w:tcW w:w="3119" w:type="dxa"/>
            <w:shd w:val="clear" w:color="auto" w:fill="auto"/>
          </w:tcPr>
          <w:p w:rsidR="00751062" w:rsidRDefault="006702D3">
            <w:pPr>
              <w:pStyle w:val="NoSpacing"/>
              <w:jc w:val="both"/>
              <w:rPr>
                <w:strike/>
              </w:rPr>
            </w:pPr>
            <w:r w:rsidRPr="00A34495">
              <w:t xml:space="preserve">To better protect the interest of stakeholders. This is similar to the practices in UK </w:t>
            </w:r>
            <w:r w:rsidRPr="002A2454">
              <w:t xml:space="preserve">and </w:t>
            </w:r>
            <w:r w:rsidR="005C3C08" w:rsidRPr="002A2454">
              <w:t>HK</w:t>
            </w:r>
            <w:r w:rsidRPr="002A2454">
              <w:t>.</w:t>
            </w:r>
          </w:p>
        </w:tc>
      </w:tr>
      <w:tr w:rsidR="006702D3" w:rsidRPr="003E6052" w:rsidTr="002A2454">
        <w:trPr>
          <w:trHeight w:val="150"/>
        </w:trPr>
        <w:tc>
          <w:tcPr>
            <w:tcW w:w="1126" w:type="dxa"/>
            <w:vMerge/>
            <w:shd w:val="clear" w:color="auto" w:fill="auto"/>
          </w:tcPr>
          <w:p w:rsidR="006702D3" w:rsidRDefault="006702D3">
            <w:pPr>
              <w:jc w:val="center"/>
              <w:rPr>
                <w:b/>
                <w:bCs/>
                <w:szCs w:val="26"/>
                <w:lang w:eastAsia="en-GB"/>
              </w:rPr>
            </w:pPr>
          </w:p>
        </w:tc>
        <w:tc>
          <w:tcPr>
            <w:tcW w:w="5253" w:type="dxa"/>
            <w:gridSpan w:val="2"/>
            <w:shd w:val="clear" w:color="auto" w:fill="auto"/>
          </w:tcPr>
          <w:p w:rsidR="006702D3" w:rsidRPr="0094622B" w:rsidRDefault="006702D3" w:rsidP="00B43B35">
            <w:pPr>
              <w:jc w:val="both"/>
              <w:rPr>
                <w:bCs/>
                <w:szCs w:val="26"/>
              </w:rPr>
            </w:pPr>
            <w:r w:rsidRPr="0094622B">
              <w:rPr>
                <w:bCs/>
                <w:szCs w:val="26"/>
              </w:rPr>
              <w:t xml:space="preserve">The timeframe </w:t>
            </w:r>
            <w:r>
              <w:rPr>
                <w:bCs/>
                <w:szCs w:val="26"/>
              </w:rPr>
              <w:t xml:space="preserve">for foreign companies to file documents with </w:t>
            </w:r>
            <w:r w:rsidRPr="0094622B">
              <w:rPr>
                <w:bCs/>
                <w:szCs w:val="26"/>
              </w:rPr>
              <w:t xml:space="preserve">the Registrar is 30 days, </w:t>
            </w:r>
            <w:r>
              <w:rPr>
                <w:bCs/>
                <w:szCs w:val="26"/>
              </w:rPr>
              <w:t>except for the following filings:</w:t>
            </w:r>
          </w:p>
          <w:p w:rsidR="006702D3" w:rsidRDefault="006702D3">
            <w:pPr>
              <w:pStyle w:val="ListParagraph"/>
              <w:numPr>
                <w:ilvl w:val="0"/>
                <w:numId w:val="40"/>
              </w:numPr>
              <w:ind w:left="601" w:hanging="567"/>
              <w:jc w:val="both"/>
              <w:rPr>
                <w:bCs/>
                <w:szCs w:val="26"/>
              </w:rPr>
            </w:pPr>
            <w:r w:rsidRPr="0094622B">
              <w:rPr>
                <w:bCs/>
                <w:szCs w:val="26"/>
              </w:rPr>
              <w:t xml:space="preserve">the situation of the branch register of members or </w:t>
            </w:r>
            <w:r>
              <w:rPr>
                <w:bCs/>
                <w:szCs w:val="26"/>
              </w:rPr>
              <w:t>a change thereof (14 days)</w:t>
            </w:r>
            <w:r w:rsidR="00183E81">
              <w:rPr>
                <w:bCs/>
                <w:szCs w:val="26"/>
              </w:rPr>
              <w:t xml:space="preserve"> under section 379(6) and (7)</w:t>
            </w:r>
            <w:r>
              <w:rPr>
                <w:bCs/>
                <w:szCs w:val="26"/>
              </w:rPr>
              <w:t>; and</w:t>
            </w:r>
          </w:p>
          <w:p w:rsidR="006702D3" w:rsidRDefault="006702D3">
            <w:pPr>
              <w:pStyle w:val="ListParagraph"/>
              <w:numPr>
                <w:ilvl w:val="0"/>
                <w:numId w:val="40"/>
              </w:numPr>
              <w:ind w:left="601" w:hanging="567"/>
              <w:jc w:val="both"/>
              <w:rPr>
                <w:bCs/>
                <w:szCs w:val="26"/>
              </w:rPr>
            </w:pPr>
            <w:r w:rsidRPr="00111265">
              <w:rPr>
                <w:bCs/>
                <w:szCs w:val="26"/>
              </w:rPr>
              <w:t>notice of cessation of business (7 days)</w:t>
            </w:r>
            <w:r w:rsidR="00905175">
              <w:rPr>
                <w:bCs/>
                <w:szCs w:val="26"/>
              </w:rPr>
              <w:t xml:space="preserve"> under section 377(1)</w:t>
            </w:r>
            <w:r w:rsidRPr="00111265">
              <w:rPr>
                <w:bCs/>
                <w:szCs w:val="26"/>
              </w:rPr>
              <w:t>.</w:t>
            </w:r>
          </w:p>
        </w:tc>
        <w:tc>
          <w:tcPr>
            <w:tcW w:w="4395" w:type="dxa"/>
            <w:shd w:val="clear" w:color="auto" w:fill="auto"/>
          </w:tcPr>
          <w:p w:rsidR="006702D3" w:rsidRPr="00A4663D" w:rsidRDefault="006702D3" w:rsidP="00A4663D">
            <w:pPr>
              <w:pStyle w:val="NoSpacing"/>
              <w:jc w:val="both"/>
              <w:rPr>
                <w:szCs w:val="26"/>
              </w:rPr>
            </w:pPr>
            <w:r w:rsidRPr="00A4663D">
              <w:rPr>
                <w:szCs w:val="26"/>
              </w:rPr>
              <w:t>Amend section 379(</w:t>
            </w:r>
            <w:r w:rsidR="00183E81" w:rsidRPr="00A4663D">
              <w:rPr>
                <w:szCs w:val="26"/>
              </w:rPr>
              <w:t>6</w:t>
            </w:r>
            <w:r w:rsidRPr="00A4663D">
              <w:rPr>
                <w:szCs w:val="26"/>
              </w:rPr>
              <w:t xml:space="preserve">) </w:t>
            </w:r>
            <w:r w:rsidR="00183E81" w:rsidRPr="00A4663D">
              <w:rPr>
                <w:szCs w:val="26"/>
              </w:rPr>
              <w:t xml:space="preserve">and (7) </w:t>
            </w:r>
            <w:r w:rsidRPr="00A4663D">
              <w:rPr>
                <w:szCs w:val="26"/>
              </w:rPr>
              <w:t>to standardise the notification timeline for filing the situation of branch register of members or a change to 30 days.</w:t>
            </w:r>
          </w:p>
        </w:tc>
        <w:tc>
          <w:tcPr>
            <w:tcW w:w="3119" w:type="dxa"/>
            <w:shd w:val="clear" w:color="auto" w:fill="auto"/>
          </w:tcPr>
          <w:p w:rsidR="006702D3" w:rsidRPr="00A4663D" w:rsidRDefault="006702D3" w:rsidP="00A4663D">
            <w:pPr>
              <w:pStyle w:val="NoSpacing"/>
              <w:jc w:val="both"/>
              <w:rPr>
                <w:szCs w:val="26"/>
              </w:rPr>
            </w:pPr>
            <w:r w:rsidRPr="00A4663D">
              <w:rPr>
                <w:szCs w:val="26"/>
              </w:rPr>
              <w:t>Technical amendment to standardise notification period to ease administration. To protect creditors’ interests, the 7-day timeline for filing the notice of cessation will be retained.</w:t>
            </w:r>
          </w:p>
        </w:tc>
      </w:tr>
      <w:tr w:rsidR="006702D3" w:rsidRPr="003E6052" w:rsidTr="00C42E01">
        <w:tc>
          <w:tcPr>
            <w:tcW w:w="13893" w:type="dxa"/>
            <w:gridSpan w:val="5"/>
            <w:shd w:val="clear" w:color="auto" w:fill="FBD4B4" w:themeFill="accent6" w:themeFillTint="66"/>
          </w:tcPr>
          <w:p w:rsidR="006702D3" w:rsidRPr="00EE071D" w:rsidRDefault="006702D3" w:rsidP="005D7D8D">
            <w:pPr>
              <w:jc w:val="both"/>
              <w:rPr>
                <w:bCs/>
                <w:szCs w:val="26"/>
              </w:rPr>
            </w:pPr>
            <w:r w:rsidRPr="00EE071D">
              <w:rPr>
                <w:b/>
                <w:bCs/>
                <w:szCs w:val="26"/>
                <w:lang w:eastAsia="en-GB"/>
              </w:rPr>
              <w:t>False and misleading statement</w:t>
            </w:r>
          </w:p>
        </w:tc>
      </w:tr>
      <w:tr w:rsidR="006702D3" w:rsidRPr="003E6052" w:rsidTr="00E461EB">
        <w:tc>
          <w:tcPr>
            <w:tcW w:w="1126" w:type="dxa"/>
          </w:tcPr>
          <w:p w:rsidR="006702D3" w:rsidRDefault="006702D3">
            <w:pPr>
              <w:jc w:val="center"/>
              <w:rPr>
                <w:szCs w:val="26"/>
              </w:rPr>
            </w:pPr>
            <w:r>
              <w:rPr>
                <w:szCs w:val="26"/>
              </w:rPr>
              <w:t>52</w:t>
            </w:r>
          </w:p>
        </w:tc>
        <w:tc>
          <w:tcPr>
            <w:tcW w:w="5253" w:type="dxa"/>
            <w:gridSpan w:val="2"/>
          </w:tcPr>
          <w:p w:rsidR="006702D3" w:rsidRDefault="006702D3" w:rsidP="00934F82">
            <w:pPr>
              <w:pStyle w:val="NoSpacing"/>
              <w:jc w:val="both"/>
              <w:rPr>
                <w:szCs w:val="26"/>
              </w:rPr>
            </w:pPr>
            <w:r w:rsidRPr="00EE071D">
              <w:rPr>
                <w:bCs/>
                <w:szCs w:val="26"/>
              </w:rPr>
              <w:t xml:space="preserve">Section 401(2) provides that </w:t>
            </w:r>
            <w:r>
              <w:rPr>
                <w:bCs/>
                <w:szCs w:val="26"/>
              </w:rPr>
              <w:t>e</w:t>
            </w:r>
            <w:r w:rsidRPr="00F5495E">
              <w:rPr>
                <w:szCs w:val="26"/>
              </w:rPr>
              <w:t xml:space="preserve">very person who wilfully makes or authorises the making of a statement false or misleading in any material particular knowing it to be false or misleading or wilfully omits or authorises the </w:t>
            </w:r>
            <w:r>
              <w:rPr>
                <w:szCs w:val="26"/>
                <w:u w:val="single"/>
              </w:rPr>
              <w:t>accession</w:t>
            </w:r>
            <w:r w:rsidRPr="00F5495E">
              <w:rPr>
                <w:szCs w:val="26"/>
              </w:rPr>
              <w:t xml:space="preserve"> of any matter or thing without which the document is misleading in a material respect shall be guilty of an offence.</w:t>
            </w:r>
          </w:p>
        </w:tc>
        <w:tc>
          <w:tcPr>
            <w:tcW w:w="4395" w:type="dxa"/>
            <w:shd w:val="clear" w:color="auto" w:fill="auto"/>
          </w:tcPr>
          <w:p w:rsidR="006702D3" w:rsidRDefault="006702D3">
            <w:pPr>
              <w:pStyle w:val="NoSpacing"/>
              <w:jc w:val="both"/>
              <w:rPr>
                <w:strike/>
                <w:szCs w:val="26"/>
              </w:rPr>
            </w:pPr>
            <w:r w:rsidRPr="00E9788F">
              <w:rPr>
                <w:szCs w:val="26"/>
              </w:rPr>
              <w:t xml:space="preserve">Replace “accession” with “omission” </w:t>
            </w:r>
            <w:r w:rsidR="00281B9B">
              <w:rPr>
                <w:szCs w:val="26"/>
              </w:rPr>
              <w:t xml:space="preserve">in section 401(2) </w:t>
            </w:r>
            <w:r w:rsidRPr="00E9788F">
              <w:rPr>
                <w:szCs w:val="26"/>
              </w:rPr>
              <w:t>as the word is inconsistent in context of the provision.</w:t>
            </w:r>
          </w:p>
        </w:tc>
        <w:tc>
          <w:tcPr>
            <w:tcW w:w="3119" w:type="dxa"/>
            <w:shd w:val="clear" w:color="auto" w:fill="auto"/>
          </w:tcPr>
          <w:p w:rsidR="006702D3" w:rsidRPr="00E9788F" w:rsidRDefault="006702D3" w:rsidP="005D7D8D">
            <w:pPr>
              <w:pStyle w:val="NoSpacing"/>
              <w:jc w:val="both"/>
              <w:rPr>
                <w:szCs w:val="26"/>
              </w:rPr>
            </w:pPr>
            <w:r w:rsidRPr="00E9788F">
              <w:rPr>
                <w:szCs w:val="26"/>
              </w:rPr>
              <w:t>Correct typographical error.</w:t>
            </w:r>
          </w:p>
        </w:tc>
      </w:tr>
      <w:tr w:rsidR="006702D3" w:rsidRPr="003E6052" w:rsidTr="00C42E01">
        <w:tc>
          <w:tcPr>
            <w:tcW w:w="13893" w:type="dxa"/>
            <w:gridSpan w:val="5"/>
            <w:shd w:val="clear" w:color="auto" w:fill="FBD4B4" w:themeFill="accent6" w:themeFillTint="66"/>
          </w:tcPr>
          <w:p w:rsidR="006702D3" w:rsidRDefault="006702D3" w:rsidP="00CE6F51">
            <w:pPr>
              <w:pStyle w:val="NoSpacing"/>
              <w:jc w:val="both"/>
              <w:rPr>
                <w:b/>
                <w:strike/>
                <w:szCs w:val="26"/>
              </w:rPr>
            </w:pPr>
            <w:r w:rsidRPr="00301664">
              <w:rPr>
                <w:b/>
                <w:szCs w:val="26"/>
              </w:rPr>
              <w:t xml:space="preserve">Penalty for </w:t>
            </w:r>
            <w:r>
              <w:rPr>
                <w:b/>
                <w:szCs w:val="26"/>
              </w:rPr>
              <w:t xml:space="preserve">holding out as </w:t>
            </w:r>
            <w:r w:rsidRPr="00301664">
              <w:rPr>
                <w:b/>
                <w:szCs w:val="26"/>
              </w:rPr>
              <w:t>carrying on business</w:t>
            </w:r>
          </w:p>
        </w:tc>
      </w:tr>
      <w:tr w:rsidR="006702D3" w:rsidRPr="003E6052" w:rsidTr="00E461EB">
        <w:tc>
          <w:tcPr>
            <w:tcW w:w="1126" w:type="dxa"/>
            <w:vMerge w:val="restart"/>
          </w:tcPr>
          <w:p w:rsidR="006702D3" w:rsidRDefault="006702D3">
            <w:pPr>
              <w:jc w:val="center"/>
              <w:rPr>
                <w:szCs w:val="26"/>
              </w:rPr>
            </w:pPr>
            <w:r>
              <w:rPr>
                <w:szCs w:val="26"/>
              </w:rPr>
              <w:t>53</w:t>
            </w:r>
          </w:p>
        </w:tc>
        <w:tc>
          <w:tcPr>
            <w:tcW w:w="5253" w:type="dxa"/>
            <w:gridSpan w:val="2"/>
            <w:vMerge w:val="restart"/>
          </w:tcPr>
          <w:p w:rsidR="006702D3" w:rsidRDefault="006702D3">
            <w:pPr>
              <w:pStyle w:val="NoSpacing"/>
              <w:jc w:val="both"/>
              <w:rPr>
                <w:szCs w:val="26"/>
              </w:rPr>
            </w:pPr>
            <w:r w:rsidRPr="00301664">
              <w:rPr>
                <w:szCs w:val="26"/>
              </w:rPr>
              <w:t xml:space="preserve">Section 405(1) provides that </w:t>
            </w:r>
            <w:r>
              <w:rPr>
                <w:szCs w:val="26"/>
              </w:rPr>
              <w:t>i</w:t>
            </w:r>
            <w:r w:rsidRPr="00F5495E">
              <w:rPr>
                <w:szCs w:val="26"/>
              </w:rPr>
              <w:t xml:space="preserve">f any person uses any name or title or trades or carries on business under any name or title of which </w:t>
            </w:r>
            <w:r w:rsidRPr="00F5495E">
              <w:rPr>
                <w:szCs w:val="26"/>
                <w:u w:val="single"/>
              </w:rPr>
              <w:t>“Limited”, “Berhad”, “Company”, “Corporation” or “Incorporated”</w:t>
            </w:r>
            <w:r w:rsidRPr="00F5495E">
              <w:rPr>
                <w:szCs w:val="26"/>
              </w:rPr>
              <w:t xml:space="preserve"> or any abbreviation, imitation or </w:t>
            </w:r>
            <w:r w:rsidRPr="00F5495E">
              <w:rPr>
                <w:szCs w:val="26"/>
              </w:rPr>
              <w:lastRenderedPageBreak/>
              <w:t xml:space="preserve">translation of any of those words is the final word, or in any way holds out that the business is registered or incorporated that person shall, unless at that time </w:t>
            </w:r>
            <w:r w:rsidRPr="00F5495E">
              <w:rPr>
                <w:szCs w:val="26"/>
                <w:u w:val="single"/>
              </w:rPr>
              <w:t>the business was duly incorporated under this Act or registered under the Limited Liability Partnerships Act or the Business Registration Act</w:t>
            </w:r>
            <w:r w:rsidRPr="00F5495E">
              <w:rPr>
                <w:szCs w:val="26"/>
              </w:rPr>
              <w:t>, be guilty of an offence.</w:t>
            </w:r>
          </w:p>
        </w:tc>
        <w:tc>
          <w:tcPr>
            <w:tcW w:w="4395" w:type="dxa"/>
            <w:shd w:val="clear" w:color="auto" w:fill="auto"/>
          </w:tcPr>
          <w:p w:rsidR="00AA4BAF" w:rsidRDefault="00AA4BAF" w:rsidP="000C0451">
            <w:pPr>
              <w:pStyle w:val="NoSpacing"/>
              <w:jc w:val="both"/>
            </w:pPr>
            <w:r>
              <w:lastRenderedPageBreak/>
              <w:t>Repeal and re-enact section 405(1).</w:t>
            </w:r>
          </w:p>
          <w:p w:rsidR="00AA4BAF" w:rsidRDefault="00AA4BAF" w:rsidP="000C0451">
            <w:pPr>
              <w:pStyle w:val="NoSpacing"/>
              <w:jc w:val="both"/>
            </w:pPr>
          </w:p>
          <w:p w:rsidR="006702D3" w:rsidRPr="00AB7B69" w:rsidRDefault="006702D3" w:rsidP="000C0451">
            <w:pPr>
              <w:pStyle w:val="NoSpacing"/>
              <w:jc w:val="both"/>
            </w:pPr>
            <w:r w:rsidRPr="00AB7B69">
              <w:t>Remove references to “company”, “corporation” or “incorporated”.</w:t>
            </w:r>
          </w:p>
        </w:tc>
        <w:tc>
          <w:tcPr>
            <w:tcW w:w="3119" w:type="dxa"/>
            <w:shd w:val="clear" w:color="auto" w:fill="auto"/>
          </w:tcPr>
          <w:p w:rsidR="006702D3" w:rsidRDefault="006702D3" w:rsidP="00921410">
            <w:pPr>
              <w:pStyle w:val="NoSpacing"/>
              <w:keepNext/>
              <w:keepLines/>
              <w:adjustRightInd w:val="0"/>
              <w:snapToGrid w:val="0"/>
              <w:jc w:val="both"/>
              <w:outlineLvl w:val="1"/>
              <w:rPr>
                <w:szCs w:val="26"/>
              </w:rPr>
            </w:pPr>
            <w:r w:rsidRPr="00431646">
              <w:rPr>
                <w:szCs w:val="26"/>
              </w:rPr>
              <w:t xml:space="preserve">Companies are unlikely to have the words </w:t>
            </w:r>
            <w:r w:rsidRPr="00AB7B69">
              <w:t>“company”, “corporation” or “incorporated”</w:t>
            </w:r>
            <w:r>
              <w:t xml:space="preserve"> </w:t>
            </w:r>
            <w:r w:rsidRPr="00431646">
              <w:rPr>
                <w:szCs w:val="26"/>
              </w:rPr>
              <w:t xml:space="preserve">at the end of their names, unless they are </w:t>
            </w:r>
            <w:r w:rsidRPr="00431646">
              <w:rPr>
                <w:szCs w:val="26"/>
              </w:rPr>
              <w:lastRenderedPageBreak/>
              <w:t xml:space="preserve">exempted under section 29. </w:t>
            </w:r>
            <w:r>
              <w:rPr>
                <w:szCs w:val="26"/>
              </w:rPr>
              <w:t>As such, the blanket prohibition on the use of these words is removed.</w:t>
            </w:r>
          </w:p>
        </w:tc>
      </w:tr>
      <w:tr w:rsidR="006702D3" w:rsidRPr="003E6052" w:rsidTr="00E461EB">
        <w:tc>
          <w:tcPr>
            <w:tcW w:w="1126" w:type="dxa"/>
            <w:vMerge/>
          </w:tcPr>
          <w:p w:rsidR="006702D3" w:rsidRPr="00BF17AB" w:rsidRDefault="006702D3" w:rsidP="00BF17AB">
            <w:pPr>
              <w:rPr>
                <w:szCs w:val="26"/>
              </w:rPr>
            </w:pPr>
          </w:p>
        </w:tc>
        <w:tc>
          <w:tcPr>
            <w:tcW w:w="5253" w:type="dxa"/>
            <w:gridSpan w:val="2"/>
            <w:vMerge/>
          </w:tcPr>
          <w:p w:rsidR="006702D3" w:rsidRPr="00301664" w:rsidRDefault="006702D3" w:rsidP="00043AC4">
            <w:pPr>
              <w:pStyle w:val="NoSpacing"/>
              <w:jc w:val="both"/>
              <w:rPr>
                <w:szCs w:val="26"/>
              </w:rPr>
            </w:pPr>
          </w:p>
        </w:tc>
        <w:tc>
          <w:tcPr>
            <w:tcW w:w="4395" w:type="dxa"/>
            <w:shd w:val="clear" w:color="auto" w:fill="auto"/>
          </w:tcPr>
          <w:p w:rsidR="006702D3" w:rsidRPr="00AB7B69" w:rsidRDefault="006702D3" w:rsidP="00DE10D7">
            <w:pPr>
              <w:pStyle w:val="NoSpacing"/>
              <w:jc w:val="both"/>
            </w:pPr>
            <w:r w:rsidRPr="00AB7B69">
              <w:t>Remove references to Limited Liability Partnerships Act and Business Registration Act.</w:t>
            </w:r>
          </w:p>
        </w:tc>
        <w:tc>
          <w:tcPr>
            <w:tcW w:w="3119" w:type="dxa"/>
            <w:shd w:val="clear" w:color="auto" w:fill="auto"/>
          </w:tcPr>
          <w:p w:rsidR="006702D3" w:rsidRDefault="006702D3" w:rsidP="00973961">
            <w:pPr>
              <w:pStyle w:val="NoSpacing"/>
              <w:jc w:val="both"/>
              <w:rPr>
                <w:szCs w:val="26"/>
                <w:lang w:val="en-US"/>
              </w:rPr>
            </w:pPr>
            <w:r>
              <w:rPr>
                <w:szCs w:val="26"/>
                <w:lang w:val="en-US"/>
              </w:rPr>
              <w:t xml:space="preserve">Clarify that </w:t>
            </w:r>
            <w:r w:rsidRPr="00301664">
              <w:rPr>
                <w:szCs w:val="26"/>
                <w:lang w:val="en-US"/>
              </w:rPr>
              <w:t xml:space="preserve">provision relates to </w:t>
            </w:r>
            <w:r>
              <w:rPr>
                <w:szCs w:val="26"/>
                <w:lang w:val="en-US"/>
              </w:rPr>
              <w:t>companies</w:t>
            </w:r>
            <w:r w:rsidRPr="00301664">
              <w:rPr>
                <w:szCs w:val="26"/>
                <w:lang w:val="en-US"/>
              </w:rPr>
              <w:t xml:space="preserve"> incorporated under the </w:t>
            </w:r>
            <w:r>
              <w:rPr>
                <w:szCs w:val="26"/>
                <w:lang w:val="en-US"/>
              </w:rPr>
              <w:t>Act</w:t>
            </w:r>
            <w:r w:rsidRPr="00301664">
              <w:rPr>
                <w:szCs w:val="26"/>
                <w:lang w:val="en-US"/>
              </w:rPr>
              <w:t>.</w:t>
            </w:r>
          </w:p>
        </w:tc>
      </w:tr>
      <w:tr w:rsidR="006702D3" w:rsidRPr="003E6052" w:rsidTr="00E461EB">
        <w:tc>
          <w:tcPr>
            <w:tcW w:w="1126" w:type="dxa"/>
            <w:vMerge/>
          </w:tcPr>
          <w:p w:rsidR="006702D3" w:rsidRPr="00BF17AB" w:rsidRDefault="006702D3" w:rsidP="00BF17AB">
            <w:pPr>
              <w:rPr>
                <w:szCs w:val="26"/>
              </w:rPr>
            </w:pPr>
          </w:p>
        </w:tc>
        <w:tc>
          <w:tcPr>
            <w:tcW w:w="5253" w:type="dxa"/>
            <w:gridSpan w:val="2"/>
            <w:vMerge/>
          </w:tcPr>
          <w:p w:rsidR="006702D3" w:rsidRPr="00301664" w:rsidRDefault="006702D3" w:rsidP="00043AC4">
            <w:pPr>
              <w:pStyle w:val="NoSpacing"/>
              <w:jc w:val="both"/>
              <w:rPr>
                <w:szCs w:val="26"/>
              </w:rPr>
            </w:pPr>
          </w:p>
        </w:tc>
        <w:tc>
          <w:tcPr>
            <w:tcW w:w="4395" w:type="dxa"/>
            <w:shd w:val="clear" w:color="auto" w:fill="auto"/>
          </w:tcPr>
          <w:p w:rsidR="006702D3" w:rsidRPr="00E109C3" w:rsidRDefault="006702D3" w:rsidP="00DE10D7">
            <w:pPr>
              <w:pStyle w:val="NoSpacing"/>
              <w:jc w:val="both"/>
            </w:pPr>
            <w:r>
              <w:t>Exclude application of the provision to foreign companies. Introduce a separate prohibition in relation to foreign companies under the new subsection (3).</w:t>
            </w:r>
          </w:p>
        </w:tc>
        <w:tc>
          <w:tcPr>
            <w:tcW w:w="3119" w:type="dxa"/>
            <w:shd w:val="clear" w:color="auto" w:fill="auto"/>
          </w:tcPr>
          <w:p w:rsidR="006702D3" w:rsidRDefault="006702D3" w:rsidP="00EC4E31">
            <w:pPr>
              <w:pStyle w:val="NoSpacing"/>
              <w:jc w:val="both"/>
              <w:rPr>
                <w:szCs w:val="26"/>
                <w:lang w:val="en-US"/>
              </w:rPr>
            </w:pPr>
            <w:r w:rsidRPr="00301664">
              <w:rPr>
                <w:szCs w:val="26"/>
              </w:rPr>
              <w:t>For clarity.</w:t>
            </w:r>
          </w:p>
        </w:tc>
      </w:tr>
      <w:tr w:rsidR="006702D3" w:rsidRPr="003E6052" w:rsidTr="00C42E01">
        <w:tc>
          <w:tcPr>
            <w:tcW w:w="13893" w:type="dxa"/>
            <w:gridSpan w:val="5"/>
            <w:shd w:val="clear" w:color="auto" w:fill="FBD4B4" w:themeFill="accent6" w:themeFillTint="66"/>
          </w:tcPr>
          <w:p w:rsidR="006702D3" w:rsidRPr="00AC1BE4" w:rsidRDefault="006702D3" w:rsidP="009847F5">
            <w:pPr>
              <w:jc w:val="both"/>
              <w:rPr>
                <w:bCs/>
                <w:szCs w:val="26"/>
              </w:rPr>
            </w:pPr>
            <w:r w:rsidRPr="00AC1BE4">
              <w:rPr>
                <w:b/>
                <w:szCs w:val="26"/>
              </w:rPr>
              <w:t>Composition of offences</w:t>
            </w:r>
          </w:p>
        </w:tc>
      </w:tr>
      <w:tr w:rsidR="006702D3" w:rsidRPr="003E6052" w:rsidTr="00E461EB">
        <w:tc>
          <w:tcPr>
            <w:tcW w:w="1126" w:type="dxa"/>
          </w:tcPr>
          <w:p w:rsidR="006702D3" w:rsidRPr="00A17997" w:rsidRDefault="006702D3">
            <w:pPr>
              <w:jc w:val="center"/>
              <w:rPr>
                <w:rFonts w:eastAsiaTheme="majorEastAsia"/>
                <w:bCs/>
                <w:szCs w:val="26"/>
              </w:rPr>
            </w:pPr>
            <w:r w:rsidRPr="00A17997">
              <w:rPr>
                <w:szCs w:val="26"/>
              </w:rPr>
              <w:t>54, 55 &amp; 56</w:t>
            </w:r>
          </w:p>
        </w:tc>
        <w:tc>
          <w:tcPr>
            <w:tcW w:w="5253" w:type="dxa"/>
            <w:gridSpan w:val="2"/>
          </w:tcPr>
          <w:p w:rsidR="006702D3" w:rsidRPr="00AC1BE4" w:rsidRDefault="006702D3" w:rsidP="00973961">
            <w:pPr>
              <w:pStyle w:val="NoSpacing"/>
              <w:jc w:val="both"/>
              <w:rPr>
                <w:szCs w:val="26"/>
              </w:rPr>
            </w:pPr>
            <w:r w:rsidRPr="00AC1BE4">
              <w:rPr>
                <w:rFonts w:eastAsia="SimSun"/>
                <w:bCs/>
                <w:szCs w:val="26"/>
                <w:lang w:eastAsia="zh-CN"/>
              </w:rPr>
              <w:t>Section 409(4)</w:t>
            </w:r>
            <w:r>
              <w:rPr>
                <w:rFonts w:eastAsia="SimSun"/>
                <w:bCs/>
                <w:szCs w:val="26"/>
                <w:lang w:eastAsia="zh-CN"/>
              </w:rPr>
              <w:t xml:space="preserve">, (5) and (6) </w:t>
            </w:r>
            <w:r w:rsidRPr="00AC1BE4">
              <w:rPr>
                <w:rFonts w:eastAsia="SimSun"/>
                <w:bCs/>
                <w:szCs w:val="26"/>
                <w:lang w:eastAsia="zh-CN"/>
              </w:rPr>
              <w:t>relates to the Registrar’s powers to compound offences.</w:t>
            </w:r>
          </w:p>
        </w:tc>
        <w:tc>
          <w:tcPr>
            <w:tcW w:w="4395" w:type="dxa"/>
          </w:tcPr>
          <w:p w:rsidR="006702D3" w:rsidRDefault="006702D3" w:rsidP="004B1477">
            <w:pPr>
              <w:pStyle w:val="NoSpacing"/>
              <w:tabs>
                <w:tab w:val="left" w:pos="34"/>
              </w:tabs>
              <w:jc w:val="both"/>
              <w:rPr>
                <w:szCs w:val="26"/>
              </w:rPr>
            </w:pPr>
            <w:r>
              <w:rPr>
                <w:szCs w:val="26"/>
              </w:rPr>
              <w:t xml:space="preserve">Repeal </w:t>
            </w:r>
            <w:r w:rsidRPr="001A2512">
              <w:rPr>
                <w:szCs w:val="26"/>
              </w:rPr>
              <w:t>section 409(4), (5) and (6)</w:t>
            </w:r>
            <w:r>
              <w:rPr>
                <w:szCs w:val="26"/>
              </w:rPr>
              <w:t xml:space="preserve">, and introduce </w:t>
            </w:r>
            <w:r w:rsidRPr="00AC1BE4">
              <w:rPr>
                <w:szCs w:val="26"/>
              </w:rPr>
              <w:t xml:space="preserve">section 409B to </w:t>
            </w:r>
            <w:r w:rsidRPr="00E67809">
              <w:rPr>
                <w:szCs w:val="26"/>
              </w:rPr>
              <w:t xml:space="preserve">allow the Registrar to compound the offences prescribed under </w:t>
            </w:r>
            <w:r>
              <w:rPr>
                <w:szCs w:val="26"/>
              </w:rPr>
              <w:t>regulations.</w:t>
            </w:r>
          </w:p>
          <w:p w:rsidR="006702D3" w:rsidRDefault="006702D3" w:rsidP="00043AC4">
            <w:pPr>
              <w:pStyle w:val="NoSpacing"/>
              <w:jc w:val="both"/>
              <w:rPr>
                <w:szCs w:val="26"/>
              </w:rPr>
            </w:pPr>
          </w:p>
          <w:p w:rsidR="006702D3" w:rsidRPr="00AC1BE4" w:rsidRDefault="006702D3" w:rsidP="00973961">
            <w:pPr>
              <w:pStyle w:val="NoSpacing"/>
              <w:jc w:val="both"/>
              <w:rPr>
                <w:szCs w:val="26"/>
              </w:rPr>
            </w:pPr>
            <w:r>
              <w:rPr>
                <w:szCs w:val="26"/>
              </w:rPr>
              <w:t>Consequential amendment to section 408(1).</w:t>
            </w:r>
          </w:p>
        </w:tc>
        <w:tc>
          <w:tcPr>
            <w:tcW w:w="3119" w:type="dxa"/>
          </w:tcPr>
          <w:p w:rsidR="006702D3" w:rsidRDefault="006702D3" w:rsidP="002911E9">
            <w:pPr>
              <w:pStyle w:val="NoSpacing"/>
              <w:jc w:val="both"/>
              <w:rPr>
                <w:szCs w:val="26"/>
              </w:rPr>
            </w:pPr>
            <w:r w:rsidRPr="00AC1BE4">
              <w:rPr>
                <w:szCs w:val="26"/>
              </w:rPr>
              <w:t xml:space="preserve">New provision </w:t>
            </w:r>
            <w:r>
              <w:rPr>
                <w:szCs w:val="26"/>
              </w:rPr>
              <w:t xml:space="preserve">updates </w:t>
            </w:r>
            <w:r w:rsidRPr="00AC1BE4">
              <w:rPr>
                <w:szCs w:val="26"/>
              </w:rPr>
              <w:t>the existing composition power under section 409(4)</w:t>
            </w:r>
            <w:r>
              <w:rPr>
                <w:szCs w:val="26"/>
              </w:rPr>
              <w:t>-(6)</w:t>
            </w:r>
            <w:r w:rsidRPr="00AC1BE4">
              <w:rPr>
                <w:szCs w:val="26"/>
              </w:rPr>
              <w:t>.</w:t>
            </w:r>
          </w:p>
        </w:tc>
      </w:tr>
      <w:tr w:rsidR="006702D3" w:rsidRPr="003E6052" w:rsidTr="00C42E01">
        <w:tc>
          <w:tcPr>
            <w:tcW w:w="13893" w:type="dxa"/>
            <w:gridSpan w:val="5"/>
            <w:shd w:val="clear" w:color="auto" w:fill="FBD4B4" w:themeFill="accent6" w:themeFillTint="66"/>
          </w:tcPr>
          <w:p w:rsidR="006702D3" w:rsidRDefault="006702D3" w:rsidP="00D67460">
            <w:pPr>
              <w:pStyle w:val="NoSpacing"/>
              <w:jc w:val="both"/>
              <w:rPr>
                <w:b/>
              </w:rPr>
            </w:pPr>
            <w:r>
              <w:rPr>
                <w:b/>
                <w:bCs/>
                <w:szCs w:val="26"/>
              </w:rPr>
              <w:t xml:space="preserve">Redraft </w:t>
            </w:r>
            <w:r w:rsidRPr="0087611D">
              <w:rPr>
                <w:b/>
                <w:bCs/>
                <w:szCs w:val="26"/>
              </w:rPr>
              <w:t xml:space="preserve">section 12(6) </w:t>
            </w:r>
            <w:r>
              <w:rPr>
                <w:b/>
                <w:bCs/>
                <w:szCs w:val="26"/>
              </w:rPr>
              <w:t xml:space="preserve">relating to </w:t>
            </w:r>
            <w:r w:rsidRPr="0087611D">
              <w:rPr>
                <w:b/>
                <w:bCs/>
                <w:szCs w:val="26"/>
              </w:rPr>
              <w:t>appeal</w:t>
            </w:r>
            <w:r>
              <w:rPr>
                <w:b/>
                <w:bCs/>
                <w:szCs w:val="26"/>
              </w:rPr>
              <w:t xml:space="preserve"> on Registrar’s decision as a standalone provision</w:t>
            </w:r>
          </w:p>
        </w:tc>
      </w:tr>
      <w:tr w:rsidR="006702D3" w:rsidRPr="003E6052" w:rsidTr="00306BFB">
        <w:trPr>
          <w:trHeight w:val="150"/>
        </w:trPr>
        <w:tc>
          <w:tcPr>
            <w:tcW w:w="1126" w:type="dxa"/>
            <w:vMerge w:val="restart"/>
            <w:shd w:val="clear" w:color="auto" w:fill="auto"/>
          </w:tcPr>
          <w:p w:rsidR="006702D3" w:rsidRPr="00A925BF" w:rsidRDefault="006702D3" w:rsidP="00E57BBA">
            <w:pPr>
              <w:pStyle w:val="NoSpacing"/>
              <w:jc w:val="center"/>
              <w:rPr>
                <w:rFonts w:eastAsiaTheme="majorEastAsia"/>
                <w:szCs w:val="26"/>
              </w:rPr>
            </w:pPr>
            <w:r w:rsidRPr="00A925BF">
              <w:rPr>
                <w:szCs w:val="26"/>
              </w:rPr>
              <w:t>4 &amp; 57</w:t>
            </w:r>
          </w:p>
        </w:tc>
        <w:tc>
          <w:tcPr>
            <w:tcW w:w="5253" w:type="dxa"/>
            <w:gridSpan w:val="2"/>
            <w:vMerge w:val="restart"/>
            <w:shd w:val="clear" w:color="auto" w:fill="auto"/>
          </w:tcPr>
          <w:p w:rsidR="006702D3" w:rsidRPr="00A925BF" w:rsidRDefault="006702D3" w:rsidP="00A925BF">
            <w:pPr>
              <w:pStyle w:val="NoSpacing"/>
              <w:jc w:val="both"/>
              <w:rPr>
                <w:szCs w:val="26"/>
              </w:rPr>
            </w:pPr>
            <w:r w:rsidRPr="00A925BF">
              <w:rPr>
                <w:szCs w:val="26"/>
              </w:rPr>
              <w:t>Section 12(6) allows any party, who is aggrieved by the Registrar’s refusal to register any corporation or register/ receive any document or by any other act or decision of the Registrar, to appeal to the Court.</w:t>
            </w:r>
          </w:p>
        </w:tc>
        <w:tc>
          <w:tcPr>
            <w:tcW w:w="4395" w:type="dxa"/>
            <w:shd w:val="clear" w:color="auto" w:fill="auto"/>
          </w:tcPr>
          <w:p w:rsidR="006702D3" w:rsidRPr="00A925BF" w:rsidRDefault="00281B9B" w:rsidP="00281B9B">
            <w:pPr>
              <w:pStyle w:val="NoSpacing"/>
              <w:jc w:val="both"/>
              <w:rPr>
                <w:szCs w:val="26"/>
              </w:rPr>
            </w:pPr>
            <w:r>
              <w:rPr>
                <w:szCs w:val="26"/>
              </w:rPr>
              <w:t xml:space="preserve">Repeal </w:t>
            </w:r>
            <w:r w:rsidR="006702D3" w:rsidRPr="00A925BF">
              <w:rPr>
                <w:szCs w:val="26"/>
              </w:rPr>
              <w:t xml:space="preserve">section 12(6) </w:t>
            </w:r>
            <w:r>
              <w:rPr>
                <w:szCs w:val="26"/>
              </w:rPr>
              <w:t xml:space="preserve">and re-enact </w:t>
            </w:r>
            <w:r w:rsidR="006702D3" w:rsidRPr="00A925BF">
              <w:rPr>
                <w:szCs w:val="26"/>
              </w:rPr>
              <w:t>as a standalone provision under new section 409C.</w:t>
            </w:r>
          </w:p>
        </w:tc>
        <w:tc>
          <w:tcPr>
            <w:tcW w:w="3119" w:type="dxa"/>
            <w:shd w:val="clear" w:color="auto" w:fill="auto"/>
          </w:tcPr>
          <w:p w:rsidR="00EE30CE" w:rsidRDefault="006702D3">
            <w:pPr>
              <w:pStyle w:val="NoSpacing"/>
              <w:jc w:val="both"/>
              <w:rPr>
                <w:szCs w:val="26"/>
              </w:rPr>
            </w:pPr>
            <w:r w:rsidRPr="00A925BF">
              <w:rPr>
                <w:szCs w:val="26"/>
              </w:rPr>
              <w:t xml:space="preserve">More appropriate </w:t>
            </w:r>
            <w:r w:rsidR="00BD1DD6">
              <w:rPr>
                <w:szCs w:val="26"/>
              </w:rPr>
              <w:t>for</w:t>
            </w:r>
            <w:r w:rsidRPr="00A925BF">
              <w:rPr>
                <w:szCs w:val="26"/>
              </w:rPr>
              <w:t xml:space="preserve"> </w:t>
            </w:r>
            <w:r w:rsidR="00281B9B">
              <w:rPr>
                <w:szCs w:val="26"/>
              </w:rPr>
              <w:t xml:space="preserve">the </w:t>
            </w:r>
            <w:r w:rsidRPr="00A925BF">
              <w:rPr>
                <w:szCs w:val="26"/>
              </w:rPr>
              <w:t xml:space="preserve">appeal provision </w:t>
            </w:r>
            <w:r w:rsidR="00BD1DD6">
              <w:rPr>
                <w:szCs w:val="26"/>
              </w:rPr>
              <w:t>to be</w:t>
            </w:r>
            <w:r w:rsidR="00BD1DD6" w:rsidRPr="00A925BF">
              <w:rPr>
                <w:szCs w:val="26"/>
              </w:rPr>
              <w:t xml:space="preserve"> </w:t>
            </w:r>
            <w:r w:rsidRPr="00A925BF">
              <w:rPr>
                <w:szCs w:val="26"/>
              </w:rPr>
              <w:t>a standalone provision since its scope is wider than section 12, which relates to registers.</w:t>
            </w:r>
          </w:p>
        </w:tc>
      </w:tr>
      <w:tr w:rsidR="006702D3" w:rsidRPr="003E6052" w:rsidTr="00306BFB">
        <w:trPr>
          <w:trHeight w:val="150"/>
        </w:trPr>
        <w:tc>
          <w:tcPr>
            <w:tcW w:w="1126" w:type="dxa"/>
            <w:vMerge/>
            <w:shd w:val="clear" w:color="auto" w:fill="auto"/>
          </w:tcPr>
          <w:p w:rsidR="006702D3" w:rsidRPr="00A925BF" w:rsidRDefault="006702D3" w:rsidP="00A925BF">
            <w:pPr>
              <w:pStyle w:val="NoSpacing"/>
              <w:jc w:val="both"/>
              <w:rPr>
                <w:szCs w:val="26"/>
              </w:rPr>
            </w:pPr>
          </w:p>
        </w:tc>
        <w:tc>
          <w:tcPr>
            <w:tcW w:w="5253" w:type="dxa"/>
            <w:gridSpan w:val="2"/>
            <w:vMerge/>
            <w:shd w:val="clear" w:color="auto" w:fill="auto"/>
          </w:tcPr>
          <w:p w:rsidR="006702D3" w:rsidRPr="00A925BF" w:rsidRDefault="006702D3" w:rsidP="00A925BF">
            <w:pPr>
              <w:pStyle w:val="NoSpacing"/>
              <w:jc w:val="both"/>
              <w:rPr>
                <w:szCs w:val="26"/>
              </w:rPr>
            </w:pPr>
          </w:p>
        </w:tc>
        <w:tc>
          <w:tcPr>
            <w:tcW w:w="4395" w:type="dxa"/>
            <w:shd w:val="clear" w:color="auto" w:fill="auto"/>
          </w:tcPr>
          <w:p w:rsidR="006702D3" w:rsidRPr="00A925BF" w:rsidRDefault="00281B9B" w:rsidP="00A925BF">
            <w:pPr>
              <w:pStyle w:val="NoSpacing"/>
              <w:jc w:val="both"/>
              <w:rPr>
                <w:szCs w:val="26"/>
              </w:rPr>
            </w:pPr>
            <w:r>
              <w:rPr>
                <w:szCs w:val="26"/>
              </w:rPr>
              <w:t xml:space="preserve">Introduce </w:t>
            </w:r>
            <w:r w:rsidR="006702D3" w:rsidRPr="00A925BF">
              <w:rPr>
                <w:szCs w:val="26"/>
              </w:rPr>
              <w:t xml:space="preserve">a provision </w:t>
            </w:r>
            <w:r>
              <w:rPr>
                <w:szCs w:val="26"/>
              </w:rPr>
              <w:t xml:space="preserve">in section 409C </w:t>
            </w:r>
            <w:r w:rsidR="006702D3" w:rsidRPr="00A925BF">
              <w:rPr>
                <w:szCs w:val="26"/>
              </w:rPr>
              <w:t xml:space="preserve">for an appeal to be lodged within 28 </w:t>
            </w:r>
            <w:r w:rsidR="006702D3" w:rsidRPr="00A925BF">
              <w:rPr>
                <w:szCs w:val="26"/>
              </w:rPr>
              <w:lastRenderedPageBreak/>
              <w:t>days of the Registrar’s decision or refusal.</w:t>
            </w:r>
          </w:p>
        </w:tc>
        <w:tc>
          <w:tcPr>
            <w:tcW w:w="3119" w:type="dxa"/>
            <w:shd w:val="clear" w:color="auto" w:fill="auto"/>
          </w:tcPr>
          <w:p w:rsidR="006702D3" w:rsidRPr="00A925BF" w:rsidRDefault="006702D3" w:rsidP="00A925BF">
            <w:pPr>
              <w:pStyle w:val="NoSpacing"/>
              <w:jc w:val="both"/>
              <w:rPr>
                <w:szCs w:val="26"/>
              </w:rPr>
            </w:pPr>
            <w:r w:rsidRPr="00A925BF">
              <w:rPr>
                <w:szCs w:val="26"/>
              </w:rPr>
              <w:lastRenderedPageBreak/>
              <w:t xml:space="preserve">The 28-day period is consistent with local laws </w:t>
            </w:r>
            <w:r w:rsidRPr="00A925BF">
              <w:rPr>
                <w:szCs w:val="26"/>
              </w:rPr>
              <w:lastRenderedPageBreak/>
              <w:t>that have equivalent appeal provisions.</w:t>
            </w:r>
          </w:p>
        </w:tc>
      </w:tr>
      <w:tr w:rsidR="006702D3" w:rsidRPr="003E6052" w:rsidTr="00C42E01">
        <w:tc>
          <w:tcPr>
            <w:tcW w:w="13893" w:type="dxa"/>
            <w:gridSpan w:val="5"/>
            <w:shd w:val="clear" w:color="auto" w:fill="FBD4B4" w:themeFill="accent6" w:themeFillTint="66"/>
          </w:tcPr>
          <w:p w:rsidR="006702D3" w:rsidRPr="00261A39" w:rsidRDefault="006702D3" w:rsidP="00AD7E69">
            <w:pPr>
              <w:pStyle w:val="NoSpacing"/>
              <w:jc w:val="both"/>
              <w:rPr>
                <w:b/>
              </w:rPr>
            </w:pPr>
            <w:r>
              <w:rPr>
                <w:b/>
              </w:rPr>
              <w:lastRenderedPageBreak/>
              <w:t>Update the reference to Rules Committee under section 410</w:t>
            </w:r>
          </w:p>
        </w:tc>
      </w:tr>
      <w:tr w:rsidR="006702D3" w:rsidRPr="003E6052" w:rsidTr="00E461EB">
        <w:tc>
          <w:tcPr>
            <w:tcW w:w="1126" w:type="dxa"/>
          </w:tcPr>
          <w:p w:rsidR="006702D3" w:rsidRPr="00BA5520" w:rsidRDefault="006702D3" w:rsidP="00E57BBA">
            <w:pPr>
              <w:pStyle w:val="NoSpacing"/>
              <w:jc w:val="center"/>
              <w:rPr>
                <w:rFonts w:eastAsiaTheme="majorEastAsia"/>
                <w:bCs/>
                <w:szCs w:val="26"/>
              </w:rPr>
            </w:pPr>
            <w:r w:rsidRPr="00577C87">
              <w:rPr>
                <w:szCs w:val="26"/>
              </w:rPr>
              <w:t>58</w:t>
            </w:r>
          </w:p>
        </w:tc>
        <w:tc>
          <w:tcPr>
            <w:tcW w:w="5253" w:type="dxa"/>
            <w:gridSpan w:val="2"/>
          </w:tcPr>
          <w:p w:rsidR="006702D3" w:rsidRPr="00577C87" w:rsidRDefault="006702D3" w:rsidP="00577C87">
            <w:pPr>
              <w:pStyle w:val="NoSpacing"/>
              <w:jc w:val="both"/>
              <w:rPr>
                <w:szCs w:val="26"/>
              </w:rPr>
            </w:pPr>
            <w:r w:rsidRPr="00577C87">
              <w:rPr>
                <w:szCs w:val="26"/>
              </w:rPr>
              <w:t>Section 410 gives the Rules Committee, which is constituted under the law relating to the courts, the power to deal with matters such as proceedings, practice and procedure of the Court under the CA.</w:t>
            </w:r>
          </w:p>
        </w:tc>
        <w:tc>
          <w:tcPr>
            <w:tcW w:w="4395" w:type="dxa"/>
          </w:tcPr>
          <w:p w:rsidR="006702D3" w:rsidRPr="00577C87" w:rsidRDefault="006702D3" w:rsidP="00577C87">
            <w:pPr>
              <w:pStyle w:val="NoSpacing"/>
              <w:jc w:val="both"/>
              <w:rPr>
                <w:szCs w:val="26"/>
              </w:rPr>
            </w:pPr>
            <w:r w:rsidRPr="00577C87">
              <w:rPr>
                <w:szCs w:val="26"/>
              </w:rPr>
              <w:t>Include the reference to “section 80 of the Supreme Court of Judicature Act”</w:t>
            </w:r>
            <w:r w:rsidR="00281B9B">
              <w:rPr>
                <w:szCs w:val="26"/>
              </w:rPr>
              <w:t xml:space="preserve"> in section 410</w:t>
            </w:r>
            <w:r w:rsidRPr="00577C87">
              <w:rPr>
                <w:szCs w:val="26"/>
              </w:rPr>
              <w:t>.</w:t>
            </w:r>
          </w:p>
        </w:tc>
        <w:tc>
          <w:tcPr>
            <w:tcW w:w="3119" w:type="dxa"/>
          </w:tcPr>
          <w:p w:rsidR="006702D3" w:rsidRPr="00577C87" w:rsidRDefault="006702D3" w:rsidP="00577C87">
            <w:pPr>
              <w:pStyle w:val="NoSpacing"/>
              <w:jc w:val="both"/>
              <w:rPr>
                <w:szCs w:val="26"/>
              </w:rPr>
            </w:pPr>
            <w:r w:rsidRPr="00577C87">
              <w:rPr>
                <w:szCs w:val="26"/>
              </w:rPr>
              <w:t>Technical amendment to clarify that the Rules Committee is constituted under the Supreme Court of Judicature Act.</w:t>
            </w:r>
          </w:p>
        </w:tc>
      </w:tr>
      <w:tr w:rsidR="006702D3" w:rsidRPr="00034EB9" w:rsidTr="00C42E01">
        <w:tc>
          <w:tcPr>
            <w:tcW w:w="13893" w:type="dxa"/>
            <w:gridSpan w:val="5"/>
            <w:shd w:val="clear" w:color="auto" w:fill="FBD4B4" w:themeFill="accent6" w:themeFillTint="66"/>
          </w:tcPr>
          <w:p w:rsidR="006702D3" w:rsidRPr="00034EB9" w:rsidRDefault="006702D3" w:rsidP="00F9087A">
            <w:pPr>
              <w:pStyle w:val="NoSpacing"/>
              <w:jc w:val="both"/>
              <w:rPr>
                <w:b/>
                <w:szCs w:val="26"/>
              </w:rPr>
            </w:pPr>
            <w:r>
              <w:rPr>
                <w:b/>
                <w:szCs w:val="26"/>
              </w:rPr>
              <w:t>Updat</w:t>
            </w:r>
            <w:r w:rsidR="00F9087A">
              <w:rPr>
                <w:b/>
                <w:szCs w:val="26"/>
              </w:rPr>
              <w:t>e</w:t>
            </w:r>
            <w:r>
              <w:rPr>
                <w:b/>
                <w:szCs w:val="26"/>
              </w:rPr>
              <w:t xml:space="preserve"> references to “Government”</w:t>
            </w:r>
          </w:p>
        </w:tc>
      </w:tr>
      <w:tr w:rsidR="006702D3" w:rsidRPr="00034EB9" w:rsidTr="00E461EB">
        <w:tc>
          <w:tcPr>
            <w:tcW w:w="1126" w:type="dxa"/>
            <w:shd w:val="clear" w:color="auto" w:fill="auto"/>
          </w:tcPr>
          <w:p w:rsidR="006702D3" w:rsidRPr="00BA5520" w:rsidRDefault="006702D3">
            <w:pPr>
              <w:pStyle w:val="NoSpacing"/>
              <w:jc w:val="center"/>
              <w:rPr>
                <w:szCs w:val="26"/>
              </w:rPr>
            </w:pPr>
            <w:r>
              <w:rPr>
                <w:szCs w:val="26"/>
              </w:rPr>
              <w:t>60</w:t>
            </w:r>
          </w:p>
        </w:tc>
        <w:tc>
          <w:tcPr>
            <w:tcW w:w="5253" w:type="dxa"/>
            <w:gridSpan w:val="2"/>
            <w:shd w:val="clear" w:color="auto" w:fill="auto"/>
          </w:tcPr>
          <w:p w:rsidR="006702D3" w:rsidRPr="00993727" w:rsidRDefault="006702D3" w:rsidP="00B43B35">
            <w:pPr>
              <w:pStyle w:val="NoSpacing"/>
              <w:jc w:val="both"/>
              <w:rPr>
                <w:szCs w:val="26"/>
              </w:rPr>
            </w:pPr>
            <w:r w:rsidRPr="00993727">
              <w:rPr>
                <w:szCs w:val="26"/>
              </w:rPr>
              <w:t>The following provisions refer to the term “</w:t>
            </w:r>
            <w:r w:rsidRPr="00993727">
              <w:rPr>
                <w:i/>
                <w:szCs w:val="26"/>
              </w:rPr>
              <w:t>Government</w:t>
            </w:r>
            <w:r w:rsidRPr="00993727">
              <w:rPr>
                <w:szCs w:val="26"/>
              </w:rPr>
              <w:t>”:</w:t>
            </w:r>
          </w:p>
          <w:p w:rsidR="006702D3" w:rsidRPr="00993727" w:rsidRDefault="006702D3" w:rsidP="00B43B35">
            <w:pPr>
              <w:pStyle w:val="NoSpacing"/>
              <w:numPr>
                <w:ilvl w:val="0"/>
                <w:numId w:val="1"/>
              </w:numPr>
              <w:jc w:val="both"/>
              <w:rPr>
                <w:szCs w:val="26"/>
              </w:rPr>
            </w:pPr>
            <w:r w:rsidRPr="00993727">
              <w:rPr>
                <w:szCs w:val="26"/>
              </w:rPr>
              <w:t>Section 12A(1) on filing service</w:t>
            </w:r>
          </w:p>
          <w:p w:rsidR="006702D3" w:rsidRPr="00993727" w:rsidRDefault="006702D3" w:rsidP="00B43B35">
            <w:pPr>
              <w:pStyle w:val="NoSpacing"/>
              <w:numPr>
                <w:ilvl w:val="0"/>
                <w:numId w:val="1"/>
              </w:numPr>
              <w:jc w:val="both"/>
              <w:rPr>
                <w:szCs w:val="26"/>
              </w:rPr>
            </w:pPr>
            <w:r w:rsidRPr="00993727">
              <w:rPr>
                <w:szCs w:val="26"/>
              </w:rPr>
              <w:t>Section 16 on instant information service – exclusion of liability for errors or omission</w:t>
            </w:r>
          </w:p>
          <w:p w:rsidR="006702D3" w:rsidRPr="00993727" w:rsidRDefault="006702D3" w:rsidP="00B43B35">
            <w:pPr>
              <w:pStyle w:val="NoSpacing"/>
              <w:numPr>
                <w:ilvl w:val="0"/>
                <w:numId w:val="1"/>
              </w:numPr>
              <w:jc w:val="both"/>
              <w:rPr>
                <w:szCs w:val="26"/>
              </w:rPr>
            </w:pPr>
            <w:r w:rsidRPr="00993727">
              <w:rPr>
                <w:szCs w:val="26"/>
              </w:rPr>
              <w:t>Section 16A on supply of magnetic tapes – exclusion of liability for errors or omission</w:t>
            </w:r>
          </w:p>
          <w:p w:rsidR="006702D3" w:rsidRPr="00993727" w:rsidRDefault="006702D3" w:rsidP="00B43B35">
            <w:pPr>
              <w:pStyle w:val="NoSpacing"/>
              <w:numPr>
                <w:ilvl w:val="0"/>
                <w:numId w:val="1"/>
              </w:numPr>
              <w:jc w:val="both"/>
              <w:rPr>
                <w:szCs w:val="26"/>
              </w:rPr>
            </w:pPr>
            <w:r w:rsidRPr="00993727">
              <w:rPr>
                <w:szCs w:val="26"/>
              </w:rPr>
              <w:t>Section 27(2C) on names of companies</w:t>
            </w:r>
          </w:p>
          <w:p w:rsidR="00993727" w:rsidRDefault="006702D3" w:rsidP="00993727">
            <w:pPr>
              <w:pStyle w:val="NoSpacing"/>
              <w:numPr>
                <w:ilvl w:val="0"/>
                <w:numId w:val="1"/>
              </w:numPr>
              <w:jc w:val="both"/>
              <w:rPr>
                <w:szCs w:val="26"/>
              </w:rPr>
            </w:pPr>
            <w:r w:rsidRPr="00993727">
              <w:rPr>
                <w:szCs w:val="26"/>
              </w:rPr>
              <w:t>Section 28(3C) on change of name</w:t>
            </w:r>
          </w:p>
          <w:p w:rsidR="00306BFB" w:rsidRDefault="00306BFB" w:rsidP="00306BFB">
            <w:pPr>
              <w:pStyle w:val="NoSpacing"/>
              <w:jc w:val="both"/>
              <w:rPr>
                <w:szCs w:val="26"/>
              </w:rPr>
            </w:pPr>
          </w:p>
          <w:p w:rsidR="00306BFB" w:rsidRDefault="00306BFB" w:rsidP="00306BFB">
            <w:pPr>
              <w:pStyle w:val="NoSpacing"/>
              <w:jc w:val="both"/>
              <w:rPr>
                <w:szCs w:val="26"/>
              </w:rPr>
            </w:pPr>
          </w:p>
          <w:p w:rsidR="00306BFB" w:rsidRDefault="00306BFB" w:rsidP="00306BFB">
            <w:pPr>
              <w:pStyle w:val="NoSpacing"/>
              <w:jc w:val="both"/>
              <w:rPr>
                <w:szCs w:val="26"/>
              </w:rPr>
            </w:pPr>
          </w:p>
          <w:p w:rsidR="00306BFB" w:rsidRDefault="00306BFB" w:rsidP="00306BFB">
            <w:pPr>
              <w:pStyle w:val="NoSpacing"/>
              <w:jc w:val="both"/>
              <w:rPr>
                <w:szCs w:val="26"/>
              </w:rPr>
            </w:pPr>
          </w:p>
          <w:p w:rsidR="00306BFB" w:rsidRDefault="00306BFB" w:rsidP="00306BFB">
            <w:pPr>
              <w:pStyle w:val="NoSpacing"/>
              <w:jc w:val="both"/>
              <w:rPr>
                <w:szCs w:val="26"/>
              </w:rPr>
            </w:pPr>
          </w:p>
          <w:p w:rsidR="008D2FC3" w:rsidRDefault="008D2FC3" w:rsidP="00306BFB">
            <w:pPr>
              <w:pStyle w:val="NoSpacing"/>
              <w:jc w:val="both"/>
              <w:rPr>
                <w:szCs w:val="26"/>
              </w:rPr>
            </w:pPr>
          </w:p>
          <w:p w:rsidR="00306BFB" w:rsidRDefault="00306BFB" w:rsidP="00306BFB">
            <w:pPr>
              <w:pStyle w:val="NoSpacing"/>
              <w:jc w:val="both"/>
              <w:rPr>
                <w:szCs w:val="26"/>
              </w:rPr>
            </w:pPr>
          </w:p>
          <w:p w:rsidR="00306BFB" w:rsidRDefault="00306BFB" w:rsidP="00306BFB">
            <w:pPr>
              <w:pStyle w:val="NoSpacing"/>
              <w:jc w:val="both"/>
              <w:rPr>
                <w:szCs w:val="26"/>
              </w:rPr>
            </w:pPr>
          </w:p>
          <w:p w:rsidR="00306BFB" w:rsidRDefault="00306BFB" w:rsidP="00306BFB">
            <w:pPr>
              <w:pStyle w:val="NoSpacing"/>
              <w:jc w:val="both"/>
              <w:rPr>
                <w:szCs w:val="26"/>
              </w:rPr>
            </w:pPr>
          </w:p>
          <w:p w:rsidR="00306BFB" w:rsidRDefault="00306BFB" w:rsidP="00306BFB">
            <w:pPr>
              <w:pStyle w:val="NoSpacing"/>
              <w:jc w:val="both"/>
              <w:rPr>
                <w:szCs w:val="26"/>
              </w:rPr>
            </w:pPr>
          </w:p>
          <w:p w:rsidR="00306BFB" w:rsidRPr="006B4586" w:rsidRDefault="00306BFB" w:rsidP="00306BFB">
            <w:pPr>
              <w:pStyle w:val="NoSpacing"/>
              <w:jc w:val="both"/>
              <w:rPr>
                <w:szCs w:val="26"/>
              </w:rPr>
            </w:pPr>
          </w:p>
        </w:tc>
        <w:tc>
          <w:tcPr>
            <w:tcW w:w="4395" w:type="dxa"/>
            <w:shd w:val="clear" w:color="auto" w:fill="auto"/>
          </w:tcPr>
          <w:p w:rsidR="006702D3" w:rsidRPr="003F7AC3" w:rsidRDefault="006702D3" w:rsidP="00281B9B">
            <w:pPr>
              <w:pStyle w:val="NoSpacing"/>
              <w:jc w:val="both"/>
              <w:rPr>
                <w:szCs w:val="26"/>
              </w:rPr>
            </w:pPr>
            <w:r w:rsidRPr="00E9788F">
              <w:rPr>
                <w:szCs w:val="26"/>
              </w:rPr>
              <w:t xml:space="preserve">Replace references to the “Government” in sections </w:t>
            </w:r>
            <w:r w:rsidR="00281B9B">
              <w:rPr>
                <w:szCs w:val="26"/>
              </w:rPr>
              <w:t xml:space="preserve">12A(1), 16, 16A, 27(2C) and 28(3C) </w:t>
            </w:r>
            <w:r w:rsidRPr="00E9788F">
              <w:rPr>
                <w:szCs w:val="26"/>
              </w:rPr>
              <w:t>with “Authority”.</w:t>
            </w:r>
          </w:p>
        </w:tc>
        <w:tc>
          <w:tcPr>
            <w:tcW w:w="3119" w:type="dxa"/>
            <w:shd w:val="clear" w:color="auto" w:fill="auto"/>
          </w:tcPr>
          <w:p w:rsidR="006702D3" w:rsidRPr="00CA77B4" w:rsidRDefault="006702D3" w:rsidP="00CA77B4">
            <w:pPr>
              <w:pStyle w:val="NoSpacing"/>
              <w:jc w:val="both"/>
            </w:pPr>
            <w:r w:rsidRPr="00CA77B4">
              <w:t>Technical amendments. More appropriate to refer to “Authority” since section 6(1) and Second Schedule to the Accounting and Corporate Authority Act provides that ACRA is responsible for administering the CA.</w:t>
            </w:r>
          </w:p>
        </w:tc>
      </w:tr>
      <w:tr w:rsidR="006702D3" w:rsidRPr="00034EB9" w:rsidTr="00C42E01">
        <w:tc>
          <w:tcPr>
            <w:tcW w:w="13893" w:type="dxa"/>
            <w:gridSpan w:val="5"/>
            <w:shd w:val="clear" w:color="auto" w:fill="FBD4B4" w:themeFill="accent6" w:themeFillTint="66"/>
          </w:tcPr>
          <w:p w:rsidR="006702D3" w:rsidRPr="00C343B1" w:rsidRDefault="006702D3" w:rsidP="00316A75">
            <w:pPr>
              <w:pStyle w:val="NoSpacing"/>
              <w:jc w:val="both"/>
              <w:rPr>
                <w:b/>
                <w:bCs/>
                <w:szCs w:val="26"/>
              </w:rPr>
            </w:pPr>
            <w:r>
              <w:rPr>
                <w:b/>
                <w:bCs/>
                <w:szCs w:val="26"/>
              </w:rPr>
              <w:lastRenderedPageBreak/>
              <w:t>AMENDMENTS TO BE TAKEN UP IN SUBSIDIARY LEGISLATION</w:t>
            </w:r>
          </w:p>
        </w:tc>
      </w:tr>
      <w:tr w:rsidR="006702D3" w:rsidRPr="00034EB9" w:rsidTr="00C42E01">
        <w:tc>
          <w:tcPr>
            <w:tcW w:w="13893" w:type="dxa"/>
            <w:gridSpan w:val="5"/>
            <w:shd w:val="clear" w:color="auto" w:fill="FBD4B4" w:themeFill="accent6" w:themeFillTint="66"/>
          </w:tcPr>
          <w:p w:rsidR="006702D3" w:rsidRPr="00034EB9" w:rsidRDefault="006702D3" w:rsidP="00316A75">
            <w:pPr>
              <w:pStyle w:val="NoSpacing"/>
              <w:jc w:val="both"/>
              <w:rPr>
                <w:b/>
                <w:szCs w:val="26"/>
              </w:rPr>
            </w:pPr>
            <w:r w:rsidRPr="00471A57">
              <w:rPr>
                <w:b/>
                <w:szCs w:val="26"/>
              </w:rPr>
              <w:t>Authentication of documents lodged with Registrar</w:t>
            </w:r>
          </w:p>
        </w:tc>
      </w:tr>
      <w:tr w:rsidR="006702D3" w:rsidRPr="00034EB9" w:rsidTr="00E461EB">
        <w:trPr>
          <w:trHeight w:val="150"/>
        </w:trPr>
        <w:tc>
          <w:tcPr>
            <w:tcW w:w="1126" w:type="dxa"/>
            <w:vMerge w:val="restart"/>
            <w:shd w:val="clear" w:color="auto" w:fill="auto"/>
          </w:tcPr>
          <w:p w:rsidR="006702D3" w:rsidRDefault="006702D3">
            <w:pPr>
              <w:pStyle w:val="NoSpacing"/>
              <w:jc w:val="center"/>
              <w:rPr>
                <w:b/>
                <w:szCs w:val="26"/>
              </w:rPr>
            </w:pPr>
            <w:r>
              <w:rPr>
                <w:bCs/>
                <w:sz w:val="28"/>
                <w:szCs w:val="28"/>
              </w:rPr>
              <w:t>NA</w:t>
            </w:r>
          </w:p>
        </w:tc>
        <w:tc>
          <w:tcPr>
            <w:tcW w:w="5253" w:type="dxa"/>
            <w:gridSpan w:val="2"/>
            <w:vMerge w:val="restart"/>
            <w:shd w:val="clear" w:color="auto" w:fill="auto"/>
          </w:tcPr>
          <w:p w:rsidR="006702D3" w:rsidRPr="00034EB9" w:rsidRDefault="006702D3" w:rsidP="00316A75">
            <w:pPr>
              <w:pStyle w:val="NoSpacing"/>
              <w:jc w:val="both"/>
              <w:rPr>
                <w:b/>
                <w:szCs w:val="26"/>
              </w:rPr>
            </w:pPr>
            <w:r w:rsidRPr="00471A57">
              <w:rPr>
                <w:bCs/>
                <w:szCs w:val="26"/>
              </w:rPr>
              <w:t>Section 368(1)(a) &amp; (b) requires a foreign company to file a certified copy of its certificate of incorporation/ registration and its constitutional documents when registering with ACRA. The documents must be certified within 3 months prior to submission to the Registrar and in accordance with the Companies (Filing of Documents) Regulations</w:t>
            </w:r>
            <w:r w:rsidRPr="00471A57">
              <w:rPr>
                <w:rStyle w:val="FootnoteReference"/>
                <w:bCs/>
                <w:szCs w:val="26"/>
              </w:rPr>
              <w:footnoteReference w:id="9"/>
            </w:r>
            <w:r w:rsidRPr="00471A57">
              <w:rPr>
                <w:bCs/>
                <w:szCs w:val="26"/>
              </w:rPr>
              <w:t>.</w:t>
            </w:r>
          </w:p>
        </w:tc>
        <w:tc>
          <w:tcPr>
            <w:tcW w:w="4395" w:type="dxa"/>
            <w:shd w:val="clear" w:color="auto" w:fill="auto"/>
          </w:tcPr>
          <w:p w:rsidR="006702D3" w:rsidRPr="004A64EE" w:rsidRDefault="006702D3" w:rsidP="00316A75">
            <w:pPr>
              <w:pStyle w:val="NoSpacing"/>
              <w:jc w:val="both"/>
              <w:rPr>
                <w:szCs w:val="26"/>
              </w:rPr>
            </w:pPr>
            <w:r w:rsidRPr="00612E74">
              <w:t>A</w:t>
            </w:r>
            <w:r>
              <w:t>mend the Companies (Filing of Documents) Regulations to a</w:t>
            </w:r>
            <w:r w:rsidRPr="00612E74">
              <w:t>llow a prescribed person</w:t>
            </w:r>
            <w:r w:rsidRPr="00612E74">
              <w:rPr>
                <w:rStyle w:val="FootnoteReference"/>
                <w:szCs w:val="26"/>
              </w:rPr>
              <w:footnoteReference w:id="10"/>
            </w:r>
            <w:r w:rsidRPr="00612E74">
              <w:t xml:space="preserve"> to </w:t>
            </w:r>
            <w:r>
              <w:t xml:space="preserve">certify </w:t>
            </w:r>
            <w:r w:rsidRPr="00612E74">
              <w:t>documents relating to the foreign company instead of relying on the procedures under Companies (Filing of Documents) Regulations, if the registration is handled by a prescribed person.</w:t>
            </w:r>
          </w:p>
        </w:tc>
        <w:tc>
          <w:tcPr>
            <w:tcW w:w="3119" w:type="dxa"/>
            <w:shd w:val="clear" w:color="auto" w:fill="auto"/>
          </w:tcPr>
          <w:p w:rsidR="006702D3" w:rsidRPr="00CE0DB9" w:rsidRDefault="006702D3" w:rsidP="00316A75">
            <w:pPr>
              <w:pStyle w:val="NoSpacing"/>
              <w:jc w:val="both"/>
              <w:rPr>
                <w:szCs w:val="26"/>
              </w:rPr>
            </w:pPr>
            <w:r w:rsidRPr="00AD08A7">
              <w:t>Simplify registration process.</w:t>
            </w:r>
          </w:p>
        </w:tc>
      </w:tr>
      <w:tr w:rsidR="006702D3" w:rsidRPr="00034EB9" w:rsidTr="00E461EB">
        <w:trPr>
          <w:trHeight w:val="150"/>
        </w:trPr>
        <w:tc>
          <w:tcPr>
            <w:tcW w:w="1126" w:type="dxa"/>
            <w:vMerge/>
            <w:shd w:val="clear" w:color="auto" w:fill="auto"/>
          </w:tcPr>
          <w:p w:rsidR="006702D3" w:rsidRPr="00034EB9" w:rsidRDefault="006702D3" w:rsidP="00316A75">
            <w:pPr>
              <w:pStyle w:val="NoSpacing"/>
              <w:jc w:val="both"/>
              <w:rPr>
                <w:b/>
                <w:szCs w:val="26"/>
              </w:rPr>
            </w:pPr>
          </w:p>
        </w:tc>
        <w:tc>
          <w:tcPr>
            <w:tcW w:w="5253" w:type="dxa"/>
            <w:gridSpan w:val="2"/>
            <w:vMerge/>
            <w:shd w:val="clear" w:color="auto" w:fill="auto"/>
          </w:tcPr>
          <w:p w:rsidR="006702D3" w:rsidRPr="00034EB9" w:rsidRDefault="006702D3" w:rsidP="00316A75">
            <w:pPr>
              <w:pStyle w:val="NoSpacing"/>
              <w:jc w:val="both"/>
              <w:rPr>
                <w:b/>
                <w:szCs w:val="26"/>
              </w:rPr>
            </w:pPr>
          </w:p>
        </w:tc>
        <w:tc>
          <w:tcPr>
            <w:tcW w:w="4395" w:type="dxa"/>
            <w:shd w:val="clear" w:color="auto" w:fill="auto"/>
          </w:tcPr>
          <w:p w:rsidR="006702D3" w:rsidRPr="004A64EE" w:rsidRDefault="006702D3" w:rsidP="00316A75">
            <w:pPr>
              <w:pStyle w:val="NoSpacing"/>
              <w:jc w:val="both"/>
              <w:rPr>
                <w:szCs w:val="26"/>
              </w:rPr>
            </w:pPr>
            <w:r>
              <w:t>Amend the Companies (Filing of Documents) Regulations to e</w:t>
            </w:r>
            <w:r w:rsidRPr="00612E74">
              <w:t>xtend the time frame from 3 months to 4 months to allow a longer period for the authentication process</w:t>
            </w:r>
            <w:r>
              <w:t>.</w:t>
            </w:r>
          </w:p>
        </w:tc>
        <w:tc>
          <w:tcPr>
            <w:tcW w:w="3119" w:type="dxa"/>
            <w:shd w:val="clear" w:color="auto" w:fill="auto"/>
          </w:tcPr>
          <w:p w:rsidR="006702D3" w:rsidRPr="004A64EE" w:rsidRDefault="006702D3" w:rsidP="00316A75">
            <w:pPr>
              <w:pStyle w:val="NoSpacing"/>
              <w:jc w:val="both"/>
              <w:rPr>
                <w:szCs w:val="26"/>
              </w:rPr>
            </w:pPr>
            <w:r w:rsidRPr="00AD08A7">
              <w:t>Proposed extension is in response to feedback received and will not compromise on the need for recency.</w:t>
            </w:r>
          </w:p>
        </w:tc>
      </w:tr>
    </w:tbl>
    <w:p w:rsidR="00563B04" w:rsidRDefault="00563B04" w:rsidP="008C3185">
      <w:pPr>
        <w:rPr>
          <w:szCs w:val="26"/>
        </w:rPr>
      </w:pPr>
    </w:p>
    <w:sectPr w:rsidR="00563B04" w:rsidSect="00995FFE">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276" w:left="1440" w:header="720" w:footer="720" w:gutter="0"/>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C65" w:rsidRDefault="009C3C65">
      <w:r>
        <w:separator/>
      </w:r>
    </w:p>
  </w:endnote>
  <w:endnote w:type="continuationSeparator" w:id="0">
    <w:p w:rsidR="009C3C65" w:rsidRDefault="009C3C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3B" w:rsidRDefault="00751062">
    <w:pPr>
      <w:pStyle w:val="Footer"/>
      <w:framePr w:wrap="around" w:vAnchor="text" w:hAnchor="margin" w:xAlign="center" w:y="1"/>
      <w:rPr>
        <w:rStyle w:val="PageNumber"/>
      </w:rPr>
    </w:pPr>
    <w:r>
      <w:rPr>
        <w:rStyle w:val="PageNumber"/>
      </w:rPr>
      <w:fldChar w:fldCharType="begin"/>
    </w:r>
    <w:r w:rsidR="00C0233B">
      <w:rPr>
        <w:rStyle w:val="PageNumber"/>
      </w:rPr>
      <w:instrText xml:space="preserve">PAGE  </w:instrText>
    </w:r>
    <w:r>
      <w:rPr>
        <w:rStyle w:val="PageNumber"/>
      </w:rPr>
      <w:fldChar w:fldCharType="end"/>
    </w:r>
  </w:p>
  <w:p w:rsidR="00C0233B" w:rsidRDefault="00C023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3319951"/>
      <w:docPartObj>
        <w:docPartGallery w:val="Page Numbers (Bottom of Page)"/>
        <w:docPartUnique/>
      </w:docPartObj>
    </w:sdtPr>
    <w:sdtContent>
      <w:sdt>
        <w:sdtPr>
          <w:rPr>
            <w:sz w:val="20"/>
          </w:rPr>
          <w:id w:val="565050523"/>
          <w:docPartObj>
            <w:docPartGallery w:val="Page Numbers (Top of Page)"/>
            <w:docPartUnique/>
          </w:docPartObj>
        </w:sdtPr>
        <w:sdtContent>
          <w:p w:rsidR="00C0233B" w:rsidRPr="003E41DC" w:rsidRDefault="003E41DC" w:rsidP="003E41DC">
            <w:pPr>
              <w:pStyle w:val="Footer"/>
              <w:jc w:val="right"/>
              <w:rPr>
                <w:sz w:val="20"/>
              </w:rPr>
            </w:pPr>
            <w:r w:rsidRPr="003E41DC">
              <w:rPr>
                <w:sz w:val="20"/>
              </w:rPr>
              <w:t xml:space="preserve">Page </w:t>
            </w:r>
            <w:r w:rsidR="00751062" w:rsidRPr="003E41DC">
              <w:rPr>
                <w:sz w:val="20"/>
              </w:rPr>
              <w:fldChar w:fldCharType="begin"/>
            </w:r>
            <w:r w:rsidRPr="003E41DC">
              <w:rPr>
                <w:sz w:val="20"/>
              </w:rPr>
              <w:instrText xml:space="preserve"> PAGE </w:instrText>
            </w:r>
            <w:r w:rsidR="00751062" w:rsidRPr="003E41DC">
              <w:rPr>
                <w:sz w:val="20"/>
              </w:rPr>
              <w:fldChar w:fldCharType="separate"/>
            </w:r>
            <w:r w:rsidR="00DD0271">
              <w:rPr>
                <w:noProof/>
                <w:sz w:val="20"/>
              </w:rPr>
              <w:t>1</w:t>
            </w:r>
            <w:r w:rsidR="00751062" w:rsidRPr="003E41DC">
              <w:rPr>
                <w:sz w:val="20"/>
              </w:rPr>
              <w:fldChar w:fldCharType="end"/>
            </w:r>
            <w:r w:rsidRPr="003E41DC">
              <w:rPr>
                <w:sz w:val="20"/>
              </w:rPr>
              <w:t xml:space="preserve"> of </w:t>
            </w:r>
            <w:r w:rsidR="00751062" w:rsidRPr="003E41DC">
              <w:rPr>
                <w:sz w:val="20"/>
              </w:rPr>
              <w:fldChar w:fldCharType="begin"/>
            </w:r>
            <w:r w:rsidRPr="003E41DC">
              <w:rPr>
                <w:sz w:val="20"/>
              </w:rPr>
              <w:instrText xml:space="preserve"> NUMPAGES  </w:instrText>
            </w:r>
            <w:r w:rsidR="00751062" w:rsidRPr="003E41DC">
              <w:rPr>
                <w:sz w:val="20"/>
              </w:rPr>
              <w:fldChar w:fldCharType="separate"/>
            </w:r>
            <w:r w:rsidR="00DD0271">
              <w:rPr>
                <w:noProof/>
                <w:sz w:val="20"/>
              </w:rPr>
              <w:t>37</w:t>
            </w:r>
            <w:r w:rsidR="00751062" w:rsidRPr="003E41DC">
              <w:rPr>
                <w:sz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D34" w:rsidRDefault="00F17D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C65" w:rsidRDefault="009C3C65">
      <w:r>
        <w:separator/>
      </w:r>
    </w:p>
  </w:footnote>
  <w:footnote w:type="continuationSeparator" w:id="0">
    <w:p w:rsidR="009C3C65" w:rsidRDefault="009C3C65">
      <w:r>
        <w:continuationSeparator/>
      </w:r>
    </w:p>
  </w:footnote>
  <w:footnote w:id="1">
    <w:p w:rsidR="00C0233B" w:rsidRPr="00E26E64" w:rsidRDefault="00C0233B" w:rsidP="00972B7B">
      <w:pPr>
        <w:pStyle w:val="NoSpacing"/>
        <w:jc w:val="both"/>
      </w:pPr>
      <w:r w:rsidRPr="00D56344">
        <w:rPr>
          <w:rStyle w:val="FootnoteReference"/>
          <w:sz w:val="20"/>
        </w:rPr>
        <w:footnoteRef/>
      </w:r>
      <w:r w:rsidRPr="00D56344">
        <w:rPr>
          <w:sz w:val="20"/>
        </w:rPr>
        <w:t xml:space="preserve"> </w:t>
      </w:r>
      <w:r>
        <w:rPr>
          <w:sz w:val="20"/>
        </w:rPr>
        <w:t xml:space="preserve">First part of </w:t>
      </w:r>
      <w:r w:rsidRPr="00D56344">
        <w:rPr>
          <w:sz w:val="20"/>
        </w:rPr>
        <w:t xml:space="preserve">the </w:t>
      </w:r>
      <w:r>
        <w:rPr>
          <w:sz w:val="20"/>
        </w:rPr>
        <w:t xml:space="preserve">draft </w:t>
      </w:r>
      <w:r w:rsidRPr="00D56344">
        <w:rPr>
          <w:sz w:val="20"/>
        </w:rPr>
        <w:t>Companies (Amendment) Bill 2013 is available at http://app.mof.gov.sg/pc_coact_2013.aspx.</w:t>
      </w:r>
    </w:p>
  </w:footnote>
  <w:footnote w:id="2">
    <w:p w:rsidR="00C0233B" w:rsidRPr="008D2406" w:rsidRDefault="00C0233B" w:rsidP="008D2406">
      <w:pPr>
        <w:pStyle w:val="NoSpacing"/>
        <w:jc w:val="both"/>
        <w:rPr>
          <w:sz w:val="20"/>
        </w:rPr>
      </w:pPr>
      <w:r w:rsidRPr="008D2406">
        <w:rPr>
          <w:rStyle w:val="FootnoteReference"/>
          <w:sz w:val="20"/>
        </w:rPr>
        <w:footnoteRef/>
      </w:r>
      <w:r w:rsidRPr="008D2406">
        <w:rPr>
          <w:sz w:val="20"/>
        </w:rPr>
        <w:t xml:space="preserve"> The Steering Committee for the Review of the Companies Act had recommended retaining the register of directors’ shareholdings (Recommendation 5.4). MOF had accepted the recommendation.</w:t>
      </w:r>
    </w:p>
  </w:footnote>
  <w:footnote w:id="3">
    <w:p w:rsidR="00C0233B" w:rsidRPr="00D56344" w:rsidRDefault="00C0233B" w:rsidP="00D56344">
      <w:pPr>
        <w:pStyle w:val="NoSpacing"/>
        <w:jc w:val="both"/>
        <w:rPr>
          <w:sz w:val="20"/>
          <w:lang w:val="en-US"/>
        </w:rPr>
      </w:pPr>
      <w:r w:rsidRPr="00D56344">
        <w:rPr>
          <w:rStyle w:val="FootnoteReference"/>
          <w:sz w:val="20"/>
        </w:rPr>
        <w:footnoteRef/>
      </w:r>
      <w:r w:rsidRPr="00D56344">
        <w:rPr>
          <w:sz w:val="20"/>
        </w:rPr>
        <w:t xml:space="preserve"> Default penalties are set out under section 408 of the CA. These are additional penalties, which are imposed for a breach that continues after conviction.</w:t>
      </w:r>
    </w:p>
  </w:footnote>
  <w:footnote w:id="4">
    <w:p w:rsidR="00C0233B" w:rsidRPr="00C36361" w:rsidRDefault="00C0233B" w:rsidP="00AB7660">
      <w:pPr>
        <w:pStyle w:val="NoSpacing"/>
        <w:jc w:val="both"/>
        <w:rPr>
          <w:sz w:val="20"/>
        </w:rPr>
      </w:pPr>
      <w:r w:rsidRPr="00C36361">
        <w:rPr>
          <w:rStyle w:val="FootnoteReference"/>
          <w:sz w:val="20"/>
        </w:rPr>
        <w:footnoteRef/>
      </w:r>
      <w:r w:rsidRPr="00C36361">
        <w:rPr>
          <w:sz w:val="20"/>
        </w:rPr>
        <w:t xml:space="preserve"> </w:t>
      </w:r>
      <w:r>
        <w:rPr>
          <w:sz w:val="20"/>
        </w:rPr>
        <w:t xml:space="preserve">Currently, a </w:t>
      </w:r>
      <w:r w:rsidRPr="00AB7660">
        <w:rPr>
          <w:sz w:val="20"/>
        </w:rPr>
        <w:t>company may breach the timeframe to lay its accounts at the AGM even if it complies with the timelines in sections 203(4) and 203(6). For example</w:t>
      </w:r>
      <w:r w:rsidRPr="00C36361">
        <w:rPr>
          <w:sz w:val="20"/>
        </w:rPr>
        <w:t>, if a company sends out its notice under section 203(1)(b) to its members with 28 days’ notice, a member or auditor may request for a meeting to be held under section 203(4) on the 28</w:t>
      </w:r>
      <w:r w:rsidRPr="00C36361">
        <w:rPr>
          <w:sz w:val="20"/>
          <w:vertAlign w:val="superscript"/>
        </w:rPr>
        <w:t>th</w:t>
      </w:r>
      <w:r w:rsidRPr="00C36361">
        <w:rPr>
          <w:sz w:val="20"/>
        </w:rPr>
        <w:t xml:space="preserve"> day after the notice is given. The directors may then convene a meeting on the 20</w:t>
      </w:r>
      <w:r w:rsidRPr="00C36361">
        <w:rPr>
          <w:sz w:val="20"/>
          <w:vertAlign w:val="superscript"/>
        </w:rPr>
        <w:t>th</w:t>
      </w:r>
      <w:r w:rsidRPr="00C36361">
        <w:rPr>
          <w:sz w:val="20"/>
        </w:rPr>
        <w:t xml:space="preserve"> day after receiving the members’ request (within 21 days as required under section 203(6)). </w:t>
      </w:r>
      <w:r>
        <w:rPr>
          <w:sz w:val="20"/>
        </w:rPr>
        <w:t>In such a case, t</w:t>
      </w:r>
      <w:r w:rsidRPr="00C36361">
        <w:rPr>
          <w:sz w:val="20"/>
        </w:rPr>
        <w:t xml:space="preserve">he AGM will be </w:t>
      </w:r>
      <w:r>
        <w:rPr>
          <w:sz w:val="20"/>
        </w:rPr>
        <w:t xml:space="preserve">held </w:t>
      </w:r>
      <w:r w:rsidRPr="00C36361">
        <w:rPr>
          <w:sz w:val="20"/>
        </w:rPr>
        <w:t>after the date on which the company is due to lay its accounts at the AGM.</w:t>
      </w:r>
    </w:p>
  </w:footnote>
  <w:footnote w:id="5">
    <w:p w:rsidR="00C0233B" w:rsidRPr="00C14EF0" w:rsidRDefault="00C0233B" w:rsidP="00E461EB">
      <w:pPr>
        <w:pStyle w:val="FootnoteText"/>
      </w:pPr>
      <w:r>
        <w:rPr>
          <w:rStyle w:val="FootnoteReference"/>
        </w:rPr>
        <w:footnoteRef/>
      </w:r>
      <w:r>
        <w:t xml:space="preserve"> List of documents to be filed is expanded </w:t>
      </w:r>
      <w:r w:rsidRPr="00071295">
        <w:rPr>
          <w:szCs w:val="26"/>
        </w:rPr>
        <w:t>to include documents such as income statement, statement of changes in equity, statement of cash flows, notes to the accounts, directors’ report and auditors’ report (where applicable)</w:t>
      </w:r>
      <w:r>
        <w:rPr>
          <w:szCs w:val="26"/>
        </w:rPr>
        <w:t>.</w:t>
      </w:r>
    </w:p>
  </w:footnote>
  <w:footnote w:id="6">
    <w:p w:rsidR="00C0233B" w:rsidRPr="005942CD" w:rsidRDefault="00C0233B" w:rsidP="00F52732">
      <w:pPr>
        <w:jc w:val="both"/>
        <w:rPr>
          <w:sz w:val="20"/>
          <w:lang w:val="en-US"/>
        </w:rPr>
      </w:pPr>
      <w:r w:rsidRPr="005942CD">
        <w:rPr>
          <w:rStyle w:val="FootnoteReference"/>
          <w:sz w:val="20"/>
        </w:rPr>
        <w:footnoteRef/>
      </w:r>
      <w:r w:rsidRPr="005942CD">
        <w:rPr>
          <w:sz w:val="20"/>
        </w:rPr>
        <w:t xml:space="preserve"> </w:t>
      </w:r>
      <w:r>
        <w:rPr>
          <w:sz w:val="20"/>
        </w:rPr>
        <w:t xml:space="preserve">In </w:t>
      </w:r>
      <w:r w:rsidRPr="005942CD">
        <w:rPr>
          <w:sz w:val="20"/>
        </w:rPr>
        <w:t>some countries, companies may need to prepare and file accounts, but do not need to hold AGMs. Such companies currently fall under section 373(4) and will be required to prepare and file accounts as if it is a public company in Singapore, unless otherwise exempted. On the other hand, there are foreign companies which may hold AGMs for other matters but are not required to prepare or file accounts.</w:t>
      </w:r>
    </w:p>
  </w:footnote>
  <w:footnote w:id="7">
    <w:p w:rsidR="00C0233B" w:rsidRPr="00124EA8" w:rsidRDefault="00C0233B" w:rsidP="00F52732">
      <w:pPr>
        <w:pStyle w:val="NoSpacing"/>
        <w:jc w:val="both"/>
        <w:rPr>
          <w:sz w:val="20"/>
        </w:rPr>
      </w:pPr>
      <w:r w:rsidRPr="00124EA8">
        <w:rPr>
          <w:rStyle w:val="FootnoteReference"/>
          <w:sz w:val="20"/>
        </w:rPr>
        <w:footnoteRef/>
      </w:r>
      <w:r w:rsidRPr="00124EA8">
        <w:rPr>
          <w:sz w:val="20"/>
        </w:rPr>
        <w:t xml:space="preserve"> The Companies Act Review Steering Committee recommended maintaining the status quo where dormant listed companies will continue to prepare (and file) accounts but be exempted from statutory audit requirements (Recommendation 4.8). This is because a listed company has a greater number of stakeholders and it is prudent to retain the requirement to file accounts. MOF accepted the recommendation.</w:t>
      </w:r>
    </w:p>
  </w:footnote>
  <w:footnote w:id="8">
    <w:p w:rsidR="00C0233B" w:rsidRPr="00124EA8" w:rsidRDefault="00C0233B" w:rsidP="00F52732">
      <w:pPr>
        <w:pStyle w:val="NoSpacing"/>
        <w:jc w:val="both"/>
        <w:rPr>
          <w:sz w:val="20"/>
        </w:rPr>
      </w:pPr>
      <w:r w:rsidRPr="00124EA8">
        <w:rPr>
          <w:rStyle w:val="FootnoteReference"/>
          <w:sz w:val="20"/>
        </w:rPr>
        <w:footnoteRef/>
      </w:r>
      <w:r w:rsidRPr="00124EA8">
        <w:rPr>
          <w:sz w:val="20"/>
        </w:rPr>
        <w:t xml:space="preserve"> ACRA is undertaking a comprehensive review of all the fees chargeable under the CA. ACRA will decide if a fee should be charged, and if so, the quantum of the fee.</w:t>
      </w:r>
    </w:p>
  </w:footnote>
  <w:footnote w:id="9">
    <w:p w:rsidR="00C0233B" w:rsidRDefault="00C0233B" w:rsidP="00471A57">
      <w:pPr>
        <w:pStyle w:val="NoSpacing"/>
        <w:jc w:val="both"/>
        <w:rPr>
          <w:sz w:val="20"/>
        </w:rPr>
      </w:pPr>
      <w:r w:rsidRPr="00387B1E">
        <w:rPr>
          <w:rStyle w:val="FootnoteReference"/>
          <w:sz w:val="20"/>
        </w:rPr>
        <w:footnoteRef/>
      </w:r>
      <w:r w:rsidRPr="00387B1E">
        <w:rPr>
          <w:sz w:val="20"/>
        </w:rPr>
        <w:t xml:space="preserve"> The certificate of incorporation must be certified to be a true copy by an official holding or purporting to hold an office corresponding to that of the Registrar in the place in which the foreign company concerned is formed or incorporated. The memorandum and articles of association or other instrument constituting or defining a foreign company’s constitution need to be certified to be a true copy:</w:t>
      </w:r>
    </w:p>
    <w:p w:rsidR="00C0233B" w:rsidRPr="00387B1E" w:rsidRDefault="00C0233B" w:rsidP="00924C35">
      <w:pPr>
        <w:pStyle w:val="NoSpacing"/>
        <w:numPr>
          <w:ilvl w:val="0"/>
          <w:numId w:val="18"/>
        </w:numPr>
        <w:jc w:val="both"/>
        <w:rPr>
          <w:sz w:val="20"/>
        </w:rPr>
      </w:pPr>
      <w:r w:rsidRPr="00387B1E">
        <w:rPr>
          <w:sz w:val="20"/>
        </w:rPr>
        <w:t>by an official holding or purporting to hold an office corresponding to that of the Registrar in the place in which the foreign company concerned is formed or incorporated;</w:t>
      </w:r>
    </w:p>
    <w:p w:rsidR="00C0233B" w:rsidRPr="00387B1E" w:rsidRDefault="00C0233B" w:rsidP="00924C35">
      <w:pPr>
        <w:pStyle w:val="NoSpacing"/>
        <w:numPr>
          <w:ilvl w:val="0"/>
          <w:numId w:val="18"/>
        </w:numPr>
        <w:jc w:val="both"/>
        <w:rPr>
          <w:sz w:val="20"/>
        </w:rPr>
      </w:pPr>
      <w:r w:rsidRPr="00387B1E">
        <w:rPr>
          <w:sz w:val="20"/>
        </w:rPr>
        <w:t>by a notary public; or</w:t>
      </w:r>
    </w:p>
    <w:p w:rsidR="00C0233B" w:rsidRPr="00387B1E" w:rsidRDefault="00C0233B" w:rsidP="00924C35">
      <w:pPr>
        <w:pStyle w:val="NoSpacing"/>
        <w:numPr>
          <w:ilvl w:val="0"/>
          <w:numId w:val="18"/>
        </w:numPr>
        <w:jc w:val="both"/>
        <w:rPr>
          <w:sz w:val="20"/>
        </w:rPr>
      </w:pPr>
      <w:r w:rsidRPr="00387B1E">
        <w:rPr>
          <w:sz w:val="20"/>
        </w:rPr>
        <w:t>by a director, manager or secretary of the foreign company by affidavit or, in the case of a foreign company formed or incorporated within the Commonwealth, by statutory declaration made by a director, manager or secretary of the foreign company.</w:t>
      </w:r>
    </w:p>
  </w:footnote>
  <w:footnote w:id="10">
    <w:p w:rsidR="00C0233B" w:rsidRPr="005357B7" w:rsidRDefault="00C0233B" w:rsidP="00612E74">
      <w:pPr>
        <w:pStyle w:val="NoSpacing"/>
        <w:jc w:val="both"/>
        <w:rPr>
          <w:sz w:val="20"/>
        </w:rPr>
      </w:pPr>
      <w:r w:rsidRPr="005357B7">
        <w:rPr>
          <w:rStyle w:val="FootnoteReference"/>
          <w:sz w:val="20"/>
        </w:rPr>
        <w:footnoteRef/>
      </w:r>
      <w:r w:rsidRPr="005357B7">
        <w:rPr>
          <w:sz w:val="20"/>
        </w:rPr>
        <w:t xml:space="preserve"> A prescribed person is defined under the Companies (Filing of Documents) Regulations. Examples include lawyers, accountants and corporate secretarial agents.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D34" w:rsidRDefault="00F17D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33B" w:rsidRPr="00B64925" w:rsidRDefault="00C0233B" w:rsidP="00B64925">
    <w:pPr>
      <w:pStyle w:val="Header"/>
      <w:pBdr>
        <w:bottom w:val="single" w:sz="6" w:space="1" w:color="auto"/>
      </w:pBdr>
      <w:rPr>
        <w:sz w:val="20"/>
      </w:rPr>
    </w:pPr>
    <w:r w:rsidRPr="003310A8">
      <w:rPr>
        <w:sz w:val="20"/>
      </w:rPr>
      <w:t>Consultation on Part Two of Companies (Amendment) Bill 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D34" w:rsidRDefault="00F17D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669"/>
    <w:multiLevelType w:val="hybridMultilevel"/>
    <w:tmpl w:val="17FC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232F92"/>
    <w:multiLevelType w:val="hybridMultilevel"/>
    <w:tmpl w:val="74CC3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2760E91"/>
    <w:multiLevelType w:val="hybridMultilevel"/>
    <w:tmpl w:val="0E2299BC"/>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623FBA"/>
    <w:multiLevelType w:val="hybridMultilevel"/>
    <w:tmpl w:val="2CD6697E"/>
    <w:lvl w:ilvl="0" w:tplc="A89603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525C3A"/>
    <w:multiLevelType w:val="hybridMultilevel"/>
    <w:tmpl w:val="F2B48B38"/>
    <w:lvl w:ilvl="0" w:tplc="4809001B">
      <w:start w:val="1"/>
      <w:numFmt w:val="lowerRoman"/>
      <w:lvlText w:val="%1."/>
      <w:lvlJc w:val="righ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nsid w:val="09DC7A48"/>
    <w:multiLevelType w:val="hybridMultilevel"/>
    <w:tmpl w:val="E6C0DC2E"/>
    <w:lvl w:ilvl="0" w:tplc="76CE5C8C">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940866"/>
    <w:multiLevelType w:val="hybridMultilevel"/>
    <w:tmpl w:val="2CD6697E"/>
    <w:lvl w:ilvl="0" w:tplc="A89603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8C2B97"/>
    <w:multiLevelType w:val="hybridMultilevel"/>
    <w:tmpl w:val="0BFAD5C8"/>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DBB6336"/>
    <w:multiLevelType w:val="hybridMultilevel"/>
    <w:tmpl w:val="919ECCC8"/>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EF915DF"/>
    <w:multiLevelType w:val="hybridMultilevel"/>
    <w:tmpl w:val="66EA8092"/>
    <w:lvl w:ilvl="0" w:tplc="A8960324">
      <w:start w:val="1"/>
      <w:numFmt w:val="lowerLetter"/>
      <w:lvlText w:val="(%1)"/>
      <w:lvlJc w:val="left"/>
      <w:pPr>
        <w:ind w:left="-200" w:hanging="360"/>
      </w:pPr>
      <w:rPr>
        <w:rFonts w:hint="default"/>
      </w:rPr>
    </w:lvl>
    <w:lvl w:ilvl="1" w:tplc="08090019">
      <w:start w:val="1"/>
      <w:numFmt w:val="lowerLetter"/>
      <w:lvlText w:val="%2."/>
      <w:lvlJc w:val="left"/>
      <w:pPr>
        <w:ind w:left="520" w:hanging="360"/>
      </w:pPr>
    </w:lvl>
    <w:lvl w:ilvl="2" w:tplc="0809001B" w:tentative="1">
      <w:start w:val="1"/>
      <w:numFmt w:val="lowerRoman"/>
      <w:lvlText w:val="%3."/>
      <w:lvlJc w:val="right"/>
      <w:pPr>
        <w:ind w:left="1240" w:hanging="180"/>
      </w:pPr>
    </w:lvl>
    <w:lvl w:ilvl="3" w:tplc="0809000F" w:tentative="1">
      <w:start w:val="1"/>
      <w:numFmt w:val="decimal"/>
      <w:lvlText w:val="%4."/>
      <w:lvlJc w:val="left"/>
      <w:pPr>
        <w:ind w:left="1960" w:hanging="360"/>
      </w:pPr>
    </w:lvl>
    <w:lvl w:ilvl="4" w:tplc="08090019" w:tentative="1">
      <w:start w:val="1"/>
      <w:numFmt w:val="lowerLetter"/>
      <w:lvlText w:val="%5."/>
      <w:lvlJc w:val="left"/>
      <w:pPr>
        <w:ind w:left="2680" w:hanging="360"/>
      </w:pPr>
    </w:lvl>
    <w:lvl w:ilvl="5" w:tplc="0809001B" w:tentative="1">
      <w:start w:val="1"/>
      <w:numFmt w:val="lowerRoman"/>
      <w:lvlText w:val="%6."/>
      <w:lvlJc w:val="right"/>
      <w:pPr>
        <w:ind w:left="3400" w:hanging="180"/>
      </w:pPr>
    </w:lvl>
    <w:lvl w:ilvl="6" w:tplc="0809000F" w:tentative="1">
      <w:start w:val="1"/>
      <w:numFmt w:val="decimal"/>
      <w:lvlText w:val="%7."/>
      <w:lvlJc w:val="left"/>
      <w:pPr>
        <w:ind w:left="4120" w:hanging="360"/>
      </w:pPr>
    </w:lvl>
    <w:lvl w:ilvl="7" w:tplc="08090019" w:tentative="1">
      <w:start w:val="1"/>
      <w:numFmt w:val="lowerLetter"/>
      <w:lvlText w:val="%8."/>
      <w:lvlJc w:val="left"/>
      <w:pPr>
        <w:ind w:left="4840" w:hanging="360"/>
      </w:pPr>
    </w:lvl>
    <w:lvl w:ilvl="8" w:tplc="0809001B" w:tentative="1">
      <w:start w:val="1"/>
      <w:numFmt w:val="lowerRoman"/>
      <w:lvlText w:val="%9."/>
      <w:lvlJc w:val="right"/>
      <w:pPr>
        <w:ind w:left="5560" w:hanging="180"/>
      </w:pPr>
    </w:lvl>
  </w:abstractNum>
  <w:abstractNum w:abstractNumId="10">
    <w:nsid w:val="140834E6"/>
    <w:multiLevelType w:val="hybridMultilevel"/>
    <w:tmpl w:val="67CC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4257F4B"/>
    <w:multiLevelType w:val="hybridMultilevel"/>
    <w:tmpl w:val="C3AA0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42E4CC8"/>
    <w:multiLevelType w:val="hybridMultilevel"/>
    <w:tmpl w:val="CA441FF2"/>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44F40A4"/>
    <w:multiLevelType w:val="hybridMultilevel"/>
    <w:tmpl w:val="CA84A6BA"/>
    <w:lvl w:ilvl="0" w:tplc="4582DCD8">
      <w:start w:val="1"/>
      <w:numFmt w:val="lowerLetter"/>
      <w:lvlText w:val="(%1)"/>
      <w:lvlJc w:val="left"/>
      <w:pPr>
        <w:ind w:left="360" w:hanging="360"/>
      </w:pPr>
      <w:rPr>
        <w:rFonts w:ascii="Times New Roman" w:hAnsi="Times New Roman" w:hint="default"/>
        <w:b w:val="0"/>
        <w:i w:val="0"/>
        <w:color w:val="auto"/>
        <w:sz w:val="26"/>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5092CCC"/>
    <w:multiLevelType w:val="hybridMultilevel"/>
    <w:tmpl w:val="89B44B92"/>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65B55CE"/>
    <w:multiLevelType w:val="hybridMultilevel"/>
    <w:tmpl w:val="86444694"/>
    <w:lvl w:ilvl="0" w:tplc="9E6AFA74">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210A5D"/>
    <w:multiLevelType w:val="hybridMultilevel"/>
    <w:tmpl w:val="BC7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F64D80"/>
    <w:multiLevelType w:val="hybridMultilevel"/>
    <w:tmpl w:val="5908FE94"/>
    <w:lvl w:ilvl="0" w:tplc="0D526E9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AD2122F"/>
    <w:multiLevelType w:val="hybridMultilevel"/>
    <w:tmpl w:val="8E2E1AD4"/>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3082DA0"/>
    <w:multiLevelType w:val="hybridMultilevel"/>
    <w:tmpl w:val="FE94F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3DA224D"/>
    <w:multiLevelType w:val="hybridMultilevel"/>
    <w:tmpl w:val="3D4CFE0A"/>
    <w:lvl w:ilvl="0" w:tplc="9E6AFA74">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1">
    <w:nsid w:val="24174CCF"/>
    <w:multiLevelType w:val="hybridMultilevel"/>
    <w:tmpl w:val="A924388A"/>
    <w:lvl w:ilvl="0" w:tplc="9E6AFA74">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nsid w:val="2507283D"/>
    <w:multiLevelType w:val="hybridMultilevel"/>
    <w:tmpl w:val="836E9046"/>
    <w:lvl w:ilvl="0" w:tplc="2070A884">
      <w:start w:val="1"/>
      <w:numFmt w:val="lowerLetter"/>
      <w:lvlText w:val="(%1)"/>
      <w:lvlJc w:val="left"/>
      <w:pPr>
        <w:ind w:left="360" w:hanging="360"/>
      </w:pPr>
      <w:rPr>
        <w:rFonts w:ascii="Times New Roman" w:hAnsi="Times New Roman" w:hint="default"/>
        <w:b w:val="0"/>
        <w:i w:val="0"/>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28D06145"/>
    <w:multiLevelType w:val="hybridMultilevel"/>
    <w:tmpl w:val="23C490BC"/>
    <w:lvl w:ilvl="0" w:tplc="A6BE6F08">
      <w:start w:val="1"/>
      <w:numFmt w:val="lowerLetter"/>
      <w:lvlText w:val="(%1)"/>
      <w:lvlJc w:val="left"/>
      <w:pPr>
        <w:ind w:left="360" w:hanging="360"/>
      </w:pPr>
      <w:rPr>
        <w:rFonts w:ascii="Times New Roman" w:hAnsi="Times New Roman" w:hint="default"/>
        <w:b w:val="0"/>
        <w:i w:val="0"/>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29056F37"/>
    <w:multiLevelType w:val="hybridMultilevel"/>
    <w:tmpl w:val="C23CEB6A"/>
    <w:lvl w:ilvl="0" w:tplc="921A6E2A">
      <w:start w:val="1"/>
      <w:numFmt w:val="lowerLetter"/>
      <w:lvlText w:val="(%1)"/>
      <w:lvlJc w:val="left"/>
      <w:pPr>
        <w:ind w:left="360" w:hanging="360"/>
      </w:pPr>
      <w:rPr>
        <w:rFonts w:ascii="Times New Roman" w:hAnsi="Times New Roman" w:hint="default"/>
        <w:b w:val="0"/>
        <w:i w:val="0"/>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299625D5"/>
    <w:multiLevelType w:val="hybridMultilevel"/>
    <w:tmpl w:val="2D0EBA1A"/>
    <w:lvl w:ilvl="0" w:tplc="9E6AFA74">
      <w:start w:val="1"/>
      <w:numFmt w:val="bullet"/>
      <w:lvlText w:val=""/>
      <w:lvlJc w:val="left"/>
      <w:pPr>
        <w:ind w:left="392" w:hanging="360"/>
      </w:pPr>
      <w:rPr>
        <w:rFonts w:ascii="Symbol" w:hAnsi="Symbol" w:hint="default"/>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26">
    <w:nsid w:val="2C1D15FE"/>
    <w:multiLevelType w:val="hybridMultilevel"/>
    <w:tmpl w:val="C04A542E"/>
    <w:lvl w:ilvl="0" w:tplc="CD141DBC">
      <w:start w:val="1"/>
      <w:numFmt w:val="lowerLetter"/>
      <w:lvlText w:val="(%1)"/>
      <w:lvlJc w:val="left"/>
      <w:pPr>
        <w:ind w:left="360" w:hanging="360"/>
      </w:pPr>
      <w:rPr>
        <w:rFonts w:ascii="Times New Roman" w:hAnsi="Times New Roman" w:hint="default"/>
        <w:b w:val="0"/>
        <w:i w:val="0"/>
        <w:sz w:val="26"/>
        <w:szCs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2C6607D2"/>
    <w:multiLevelType w:val="hybridMultilevel"/>
    <w:tmpl w:val="CA0495E0"/>
    <w:lvl w:ilvl="0" w:tplc="40B84DE6">
      <w:start w:val="1"/>
      <w:numFmt w:val="lowerLetter"/>
      <w:lvlText w:val="(%1)"/>
      <w:lvlJc w:val="left"/>
      <w:pPr>
        <w:ind w:left="720" w:hanging="360"/>
      </w:pPr>
      <w:rPr>
        <w:rFonts w:ascii="Times New Roman" w:hAnsi="Times New Roman" w:hint="default"/>
        <w:b w:val="0"/>
        <w:i w:val="0"/>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7B0906"/>
    <w:multiLevelType w:val="hybridMultilevel"/>
    <w:tmpl w:val="AEC67A3A"/>
    <w:lvl w:ilvl="0" w:tplc="A8960324">
      <w:start w:val="1"/>
      <w:numFmt w:val="lowerLetter"/>
      <w:lvlText w:val="(%1)"/>
      <w:lvlJc w:val="left"/>
      <w:pPr>
        <w:ind w:left="-660" w:hanging="360"/>
      </w:pPr>
      <w:rPr>
        <w:rFonts w:hint="default"/>
      </w:rPr>
    </w:lvl>
    <w:lvl w:ilvl="1" w:tplc="08090019" w:tentative="1">
      <w:start w:val="1"/>
      <w:numFmt w:val="lowerLetter"/>
      <w:lvlText w:val="%2."/>
      <w:lvlJc w:val="left"/>
      <w:pPr>
        <w:ind w:left="60" w:hanging="360"/>
      </w:pPr>
    </w:lvl>
    <w:lvl w:ilvl="2" w:tplc="0809001B" w:tentative="1">
      <w:start w:val="1"/>
      <w:numFmt w:val="lowerRoman"/>
      <w:lvlText w:val="%3."/>
      <w:lvlJc w:val="right"/>
      <w:pPr>
        <w:ind w:left="780" w:hanging="180"/>
      </w:pPr>
    </w:lvl>
    <w:lvl w:ilvl="3" w:tplc="0809000F" w:tentative="1">
      <w:start w:val="1"/>
      <w:numFmt w:val="decimal"/>
      <w:lvlText w:val="%4."/>
      <w:lvlJc w:val="left"/>
      <w:pPr>
        <w:ind w:left="1500" w:hanging="360"/>
      </w:pPr>
    </w:lvl>
    <w:lvl w:ilvl="4" w:tplc="08090019" w:tentative="1">
      <w:start w:val="1"/>
      <w:numFmt w:val="lowerLetter"/>
      <w:lvlText w:val="%5."/>
      <w:lvlJc w:val="left"/>
      <w:pPr>
        <w:ind w:left="2220" w:hanging="360"/>
      </w:pPr>
    </w:lvl>
    <w:lvl w:ilvl="5" w:tplc="0809001B" w:tentative="1">
      <w:start w:val="1"/>
      <w:numFmt w:val="lowerRoman"/>
      <w:lvlText w:val="%6."/>
      <w:lvlJc w:val="right"/>
      <w:pPr>
        <w:ind w:left="2940" w:hanging="180"/>
      </w:pPr>
    </w:lvl>
    <w:lvl w:ilvl="6" w:tplc="0809000F" w:tentative="1">
      <w:start w:val="1"/>
      <w:numFmt w:val="decimal"/>
      <w:lvlText w:val="%7."/>
      <w:lvlJc w:val="left"/>
      <w:pPr>
        <w:ind w:left="3660" w:hanging="360"/>
      </w:pPr>
    </w:lvl>
    <w:lvl w:ilvl="7" w:tplc="08090019" w:tentative="1">
      <w:start w:val="1"/>
      <w:numFmt w:val="lowerLetter"/>
      <w:lvlText w:val="%8."/>
      <w:lvlJc w:val="left"/>
      <w:pPr>
        <w:ind w:left="4380" w:hanging="360"/>
      </w:pPr>
    </w:lvl>
    <w:lvl w:ilvl="8" w:tplc="0809001B" w:tentative="1">
      <w:start w:val="1"/>
      <w:numFmt w:val="lowerRoman"/>
      <w:lvlText w:val="%9."/>
      <w:lvlJc w:val="right"/>
      <w:pPr>
        <w:ind w:left="5100" w:hanging="180"/>
      </w:pPr>
    </w:lvl>
  </w:abstractNum>
  <w:abstractNum w:abstractNumId="29">
    <w:nsid w:val="38956C77"/>
    <w:multiLevelType w:val="hybridMultilevel"/>
    <w:tmpl w:val="DF4279B6"/>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B491FC8"/>
    <w:multiLevelType w:val="hybridMultilevel"/>
    <w:tmpl w:val="F532052E"/>
    <w:lvl w:ilvl="0" w:tplc="720E1C42">
      <w:start w:val="1"/>
      <w:numFmt w:val="lowerLetter"/>
      <w:lvlText w:val="(%1)"/>
      <w:lvlJc w:val="left"/>
      <w:pPr>
        <w:ind w:left="-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C00084D"/>
    <w:multiLevelType w:val="hybridMultilevel"/>
    <w:tmpl w:val="3E12C558"/>
    <w:lvl w:ilvl="0" w:tplc="9E6AFA74">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3C542CF3"/>
    <w:multiLevelType w:val="hybridMultilevel"/>
    <w:tmpl w:val="6950869A"/>
    <w:lvl w:ilvl="0" w:tplc="9E6AFA74">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nsid w:val="3F4C19E1"/>
    <w:multiLevelType w:val="hybridMultilevel"/>
    <w:tmpl w:val="F080E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25D1A8A"/>
    <w:multiLevelType w:val="hybridMultilevel"/>
    <w:tmpl w:val="C8982C32"/>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491427A"/>
    <w:multiLevelType w:val="hybridMultilevel"/>
    <w:tmpl w:val="5E80E00C"/>
    <w:lvl w:ilvl="0" w:tplc="9E6AFA74">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nsid w:val="452C664D"/>
    <w:multiLevelType w:val="hybridMultilevel"/>
    <w:tmpl w:val="AF5E4B3A"/>
    <w:lvl w:ilvl="0" w:tplc="A8AC3B7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45CA0939"/>
    <w:multiLevelType w:val="hybridMultilevel"/>
    <w:tmpl w:val="2500C4E2"/>
    <w:lvl w:ilvl="0" w:tplc="9E6AFA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7CD36A9"/>
    <w:multiLevelType w:val="hybridMultilevel"/>
    <w:tmpl w:val="685066A6"/>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88C5AE4"/>
    <w:multiLevelType w:val="hybridMultilevel"/>
    <w:tmpl w:val="53EC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4964411E"/>
    <w:multiLevelType w:val="hybridMultilevel"/>
    <w:tmpl w:val="CDE0C440"/>
    <w:lvl w:ilvl="0" w:tplc="9E6AFA74">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1">
    <w:nsid w:val="4B0D0180"/>
    <w:multiLevelType w:val="hybridMultilevel"/>
    <w:tmpl w:val="8D580CFE"/>
    <w:lvl w:ilvl="0" w:tplc="A896032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CEC376B"/>
    <w:multiLevelType w:val="hybridMultilevel"/>
    <w:tmpl w:val="7F463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D445CB4"/>
    <w:multiLevelType w:val="hybridMultilevel"/>
    <w:tmpl w:val="7242D93C"/>
    <w:lvl w:ilvl="0" w:tplc="9E6AFA74">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4D6F6015"/>
    <w:multiLevelType w:val="hybridMultilevel"/>
    <w:tmpl w:val="65EA1DDC"/>
    <w:lvl w:ilvl="0" w:tplc="9E6AFA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DCD7F3D"/>
    <w:multiLevelType w:val="hybridMultilevel"/>
    <w:tmpl w:val="5B94D20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6">
    <w:nsid w:val="506B5B1B"/>
    <w:multiLevelType w:val="hybridMultilevel"/>
    <w:tmpl w:val="03B21884"/>
    <w:lvl w:ilvl="0" w:tplc="CFFEE4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5F84B5E"/>
    <w:multiLevelType w:val="hybridMultilevel"/>
    <w:tmpl w:val="E856B3C2"/>
    <w:lvl w:ilvl="0" w:tplc="08090001">
      <w:start w:val="1"/>
      <w:numFmt w:val="bullet"/>
      <w:lvlText w:val=""/>
      <w:lvlJc w:val="left"/>
      <w:pPr>
        <w:ind w:left="360" w:hanging="360"/>
      </w:pPr>
      <w:rPr>
        <w:rFonts w:ascii="Symbol" w:hAnsi="Symbol" w:hint="default"/>
      </w:rPr>
    </w:lvl>
    <w:lvl w:ilvl="1" w:tplc="9E6AFA7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5B982D48"/>
    <w:multiLevelType w:val="hybridMultilevel"/>
    <w:tmpl w:val="B5A4C304"/>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5BD42B68"/>
    <w:multiLevelType w:val="hybridMultilevel"/>
    <w:tmpl w:val="FFEEE344"/>
    <w:lvl w:ilvl="0" w:tplc="9E6AFA74">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0">
    <w:nsid w:val="5F842283"/>
    <w:multiLevelType w:val="hybridMultilevel"/>
    <w:tmpl w:val="01185EF4"/>
    <w:lvl w:ilvl="0" w:tplc="9E6AFA74">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1">
    <w:nsid w:val="60CE1684"/>
    <w:multiLevelType w:val="hybridMultilevel"/>
    <w:tmpl w:val="16D8E620"/>
    <w:lvl w:ilvl="0" w:tplc="502400A6">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2261DAC"/>
    <w:multiLevelType w:val="hybridMultilevel"/>
    <w:tmpl w:val="29DC6496"/>
    <w:lvl w:ilvl="0" w:tplc="A896032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6296D56"/>
    <w:multiLevelType w:val="hybridMultilevel"/>
    <w:tmpl w:val="ADA42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663660AA"/>
    <w:multiLevelType w:val="hybridMultilevel"/>
    <w:tmpl w:val="69C29236"/>
    <w:lvl w:ilvl="0" w:tplc="9E6AFA74">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5">
    <w:nsid w:val="672424EC"/>
    <w:multiLevelType w:val="hybridMultilevel"/>
    <w:tmpl w:val="492A31D0"/>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675E46AB"/>
    <w:multiLevelType w:val="hybridMultilevel"/>
    <w:tmpl w:val="2CD6697E"/>
    <w:lvl w:ilvl="0" w:tplc="A89603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8845D27"/>
    <w:multiLevelType w:val="hybridMultilevel"/>
    <w:tmpl w:val="27BA9700"/>
    <w:lvl w:ilvl="0" w:tplc="99689B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88A4AFA"/>
    <w:multiLevelType w:val="hybridMultilevel"/>
    <w:tmpl w:val="47421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6B3465D1"/>
    <w:multiLevelType w:val="hybridMultilevel"/>
    <w:tmpl w:val="1E5C2C30"/>
    <w:lvl w:ilvl="0" w:tplc="EAC072AE">
      <w:start w:val="1"/>
      <w:numFmt w:val="lowerLetter"/>
      <w:lvlText w:val="(%1)"/>
      <w:lvlJc w:val="left"/>
      <w:pPr>
        <w:ind w:left="360" w:hanging="360"/>
      </w:pPr>
      <w:rPr>
        <w:rFonts w:ascii="Times New Roman" w:hAnsi="Times New Roman" w:hint="default"/>
        <w:b w:val="0"/>
        <w:i w:val="0"/>
        <w:color w:val="auto"/>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6B7830E5"/>
    <w:multiLevelType w:val="hybridMultilevel"/>
    <w:tmpl w:val="0B507398"/>
    <w:lvl w:ilvl="0" w:tplc="9E6AFA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6D2D2CBD"/>
    <w:multiLevelType w:val="hybridMultilevel"/>
    <w:tmpl w:val="322C3A98"/>
    <w:lvl w:ilvl="0" w:tplc="9E6AFA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767D7360"/>
    <w:multiLevelType w:val="hybridMultilevel"/>
    <w:tmpl w:val="7F2C3A62"/>
    <w:lvl w:ilvl="0" w:tplc="FCF61F5C">
      <w:start w:val="1"/>
      <w:numFmt w:val="lowerLetter"/>
      <w:lvlText w:val="(%1)"/>
      <w:lvlJc w:val="left"/>
      <w:pPr>
        <w:ind w:left="644" w:hanging="360"/>
      </w:pPr>
      <w:rPr>
        <w:rFonts w:ascii="Times New Roman" w:hAnsi="Times New Roman" w:hint="default"/>
        <w:b w:val="0"/>
        <w:i w:val="0"/>
        <w:color w:val="auto"/>
        <w:sz w:val="26"/>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794C19CA"/>
    <w:multiLevelType w:val="hybridMultilevel"/>
    <w:tmpl w:val="3F9C97D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4">
    <w:nsid w:val="7FEC5CE7"/>
    <w:multiLevelType w:val="hybridMultilevel"/>
    <w:tmpl w:val="93500CE0"/>
    <w:lvl w:ilvl="0" w:tplc="25FED45E">
      <w:start w:val="1"/>
      <w:numFmt w:val="lowerRoman"/>
      <w:lvlText w:val="(%1)"/>
      <w:lvlJc w:val="left"/>
      <w:pPr>
        <w:ind w:left="360" w:hanging="360"/>
      </w:pPr>
      <w:rPr>
        <w:rFonts w:ascii="Times New Roman" w:hAnsi="Times New Roman" w:hint="default"/>
        <w:b w:val="0"/>
        <w:i w:val="0"/>
        <w:sz w:val="28"/>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58"/>
  </w:num>
  <w:num w:numId="2">
    <w:abstractNumId w:val="0"/>
  </w:num>
  <w:num w:numId="3">
    <w:abstractNumId w:val="26"/>
  </w:num>
  <w:num w:numId="4">
    <w:abstractNumId w:val="1"/>
  </w:num>
  <w:num w:numId="5">
    <w:abstractNumId w:val="37"/>
  </w:num>
  <w:num w:numId="6">
    <w:abstractNumId w:val="24"/>
  </w:num>
  <w:num w:numId="7">
    <w:abstractNumId w:val="23"/>
  </w:num>
  <w:num w:numId="8">
    <w:abstractNumId w:val="53"/>
  </w:num>
  <w:num w:numId="9">
    <w:abstractNumId w:val="28"/>
  </w:num>
  <w:num w:numId="10">
    <w:abstractNumId w:val="41"/>
  </w:num>
  <w:num w:numId="11">
    <w:abstractNumId w:val="52"/>
  </w:num>
  <w:num w:numId="12">
    <w:abstractNumId w:val="3"/>
  </w:num>
  <w:num w:numId="13">
    <w:abstractNumId w:val="9"/>
  </w:num>
  <w:num w:numId="14">
    <w:abstractNumId w:val="27"/>
  </w:num>
  <w:num w:numId="15">
    <w:abstractNumId w:val="36"/>
  </w:num>
  <w:num w:numId="16">
    <w:abstractNumId w:val="43"/>
  </w:num>
  <w:num w:numId="17">
    <w:abstractNumId w:val="25"/>
  </w:num>
  <w:num w:numId="18">
    <w:abstractNumId w:val="22"/>
  </w:num>
  <w:num w:numId="19">
    <w:abstractNumId w:val="33"/>
  </w:num>
  <w:num w:numId="20">
    <w:abstractNumId w:val="31"/>
  </w:num>
  <w:num w:numId="21">
    <w:abstractNumId w:val="47"/>
  </w:num>
  <w:num w:numId="22">
    <w:abstractNumId w:val="11"/>
  </w:num>
  <w:num w:numId="23">
    <w:abstractNumId w:val="44"/>
  </w:num>
  <w:num w:numId="24">
    <w:abstractNumId w:val="7"/>
  </w:num>
  <w:num w:numId="25">
    <w:abstractNumId w:val="15"/>
  </w:num>
  <w:num w:numId="26">
    <w:abstractNumId w:val="42"/>
  </w:num>
  <w:num w:numId="27">
    <w:abstractNumId w:val="16"/>
  </w:num>
  <w:num w:numId="28">
    <w:abstractNumId w:val="19"/>
  </w:num>
  <w:num w:numId="29">
    <w:abstractNumId w:val="14"/>
  </w:num>
  <w:num w:numId="30">
    <w:abstractNumId w:val="59"/>
  </w:num>
  <w:num w:numId="31">
    <w:abstractNumId w:val="29"/>
  </w:num>
  <w:num w:numId="32">
    <w:abstractNumId w:val="20"/>
  </w:num>
  <w:num w:numId="33">
    <w:abstractNumId w:val="61"/>
  </w:num>
  <w:num w:numId="34">
    <w:abstractNumId w:val="12"/>
  </w:num>
  <w:num w:numId="35">
    <w:abstractNumId w:val="38"/>
  </w:num>
  <w:num w:numId="36">
    <w:abstractNumId w:val="48"/>
  </w:num>
  <w:num w:numId="37">
    <w:abstractNumId w:val="10"/>
  </w:num>
  <w:num w:numId="38">
    <w:abstractNumId w:val="39"/>
  </w:num>
  <w:num w:numId="39">
    <w:abstractNumId w:val="62"/>
  </w:num>
  <w:num w:numId="40">
    <w:abstractNumId w:val="30"/>
  </w:num>
  <w:num w:numId="41">
    <w:abstractNumId w:val="57"/>
  </w:num>
  <w:num w:numId="42">
    <w:abstractNumId w:val="5"/>
  </w:num>
  <w:num w:numId="43">
    <w:abstractNumId w:val="2"/>
  </w:num>
  <w:num w:numId="44">
    <w:abstractNumId w:val="17"/>
  </w:num>
  <w:num w:numId="45">
    <w:abstractNumId w:val="8"/>
  </w:num>
  <w:num w:numId="46">
    <w:abstractNumId w:val="46"/>
  </w:num>
  <w:num w:numId="47">
    <w:abstractNumId w:val="18"/>
  </w:num>
  <w:num w:numId="48">
    <w:abstractNumId w:val="51"/>
  </w:num>
  <w:num w:numId="49">
    <w:abstractNumId w:val="45"/>
  </w:num>
  <w:num w:numId="50">
    <w:abstractNumId w:val="50"/>
  </w:num>
  <w:num w:numId="51">
    <w:abstractNumId w:val="40"/>
  </w:num>
  <w:num w:numId="52">
    <w:abstractNumId w:val="21"/>
  </w:num>
  <w:num w:numId="53">
    <w:abstractNumId w:val="54"/>
  </w:num>
  <w:num w:numId="54">
    <w:abstractNumId w:val="49"/>
  </w:num>
  <w:num w:numId="55">
    <w:abstractNumId w:val="60"/>
  </w:num>
  <w:num w:numId="56">
    <w:abstractNumId w:val="32"/>
  </w:num>
  <w:num w:numId="57">
    <w:abstractNumId w:val="56"/>
  </w:num>
  <w:num w:numId="58">
    <w:abstractNumId w:val="35"/>
  </w:num>
  <w:num w:numId="59">
    <w:abstractNumId w:val="6"/>
  </w:num>
  <w:num w:numId="60">
    <w:abstractNumId w:val="55"/>
  </w:num>
  <w:num w:numId="61">
    <w:abstractNumId w:val="34"/>
  </w:num>
  <w:num w:numId="62">
    <w:abstractNumId w:val="13"/>
  </w:num>
  <w:num w:numId="63">
    <w:abstractNumId w:val="63"/>
  </w:num>
  <w:num w:numId="64">
    <w:abstractNumId w:val="4"/>
  </w:num>
  <w:num w:numId="65">
    <w:abstractNumId w:val="64"/>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130"/>
  <w:displayHorizontalDrawingGridEvery w:val="0"/>
  <w:displayVerticalDrawingGridEvery w:val="0"/>
  <w:noPunctuationKerning/>
  <w:characterSpacingControl w:val="doNotCompress"/>
  <w:hdrShapeDefaults>
    <o:shapedefaults v:ext="edit" spidmax="46082"/>
  </w:hdrShapeDefaults>
  <w:footnotePr>
    <w:footnote w:id="-1"/>
    <w:footnote w:id="0"/>
  </w:footnotePr>
  <w:endnotePr>
    <w:endnote w:id="-1"/>
    <w:endnote w:id="0"/>
  </w:endnotePr>
  <w:compat/>
  <w:rsids>
    <w:rsidRoot w:val="00016FAF"/>
    <w:rsid w:val="00000684"/>
    <w:rsid w:val="00000D60"/>
    <w:rsid w:val="00000E8F"/>
    <w:rsid w:val="00001BAC"/>
    <w:rsid w:val="00001CA2"/>
    <w:rsid w:val="00001CBB"/>
    <w:rsid w:val="0000252D"/>
    <w:rsid w:val="00003264"/>
    <w:rsid w:val="000033C5"/>
    <w:rsid w:val="0000343C"/>
    <w:rsid w:val="00004EFB"/>
    <w:rsid w:val="0000534D"/>
    <w:rsid w:val="00006492"/>
    <w:rsid w:val="0000668B"/>
    <w:rsid w:val="00006FEE"/>
    <w:rsid w:val="00007D01"/>
    <w:rsid w:val="00012B68"/>
    <w:rsid w:val="00014982"/>
    <w:rsid w:val="00014F20"/>
    <w:rsid w:val="000161A9"/>
    <w:rsid w:val="00016E7C"/>
    <w:rsid w:val="00016FAF"/>
    <w:rsid w:val="000176BD"/>
    <w:rsid w:val="00017CA4"/>
    <w:rsid w:val="00021B47"/>
    <w:rsid w:val="00025710"/>
    <w:rsid w:val="00025D5C"/>
    <w:rsid w:val="000265C1"/>
    <w:rsid w:val="0002775E"/>
    <w:rsid w:val="00027844"/>
    <w:rsid w:val="000300C0"/>
    <w:rsid w:val="00030204"/>
    <w:rsid w:val="0003053F"/>
    <w:rsid w:val="00031671"/>
    <w:rsid w:val="00031E98"/>
    <w:rsid w:val="00032250"/>
    <w:rsid w:val="00033249"/>
    <w:rsid w:val="000337E3"/>
    <w:rsid w:val="00034EB9"/>
    <w:rsid w:val="00036FF8"/>
    <w:rsid w:val="00037211"/>
    <w:rsid w:val="00037256"/>
    <w:rsid w:val="000374FF"/>
    <w:rsid w:val="000377F8"/>
    <w:rsid w:val="00037C3B"/>
    <w:rsid w:val="000407BE"/>
    <w:rsid w:val="00040A41"/>
    <w:rsid w:val="00041411"/>
    <w:rsid w:val="000418AA"/>
    <w:rsid w:val="000425A6"/>
    <w:rsid w:val="000428D8"/>
    <w:rsid w:val="00043AC4"/>
    <w:rsid w:val="000440EE"/>
    <w:rsid w:val="00044926"/>
    <w:rsid w:val="00044EE6"/>
    <w:rsid w:val="000451BE"/>
    <w:rsid w:val="00045511"/>
    <w:rsid w:val="0004620A"/>
    <w:rsid w:val="00046941"/>
    <w:rsid w:val="000474CD"/>
    <w:rsid w:val="0005141B"/>
    <w:rsid w:val="00051587"/>
    <w:rsid w:val="00051EFC"/>
    <w:rsid w:val="00052399"/>
    <w:rsid w:val="0005266B"/>
    <w:rsid w:val="00052D1C"/>
    <w:rsid w:val="00053714"/>
    <w:rsid w:val="00053943"/>
    <w:rsid w:val="00054C16"/>
    <w:rsid w:val="00055591"/>
    <w:rsid w:val="00055A6E"/>
    <w:rsid w:val="00055DC6"/>
    <w:rsid w:val="00055E4C"/>
    <w:rsid w:val="00056175"/>
    <w:rsid w:val="000572E2"/>
    <w:rsid w:val="000579DB"/>
    <w:rsid w:val="00060C5E"/>
    <w:rsid w:val="00062F81"/>
    <w:rsid w:val="0006391B"/>
    <w:rsid w:val="00064260"/>
    <w:rsid w:val="0006444A"/>
    <w:rsid w:val="000644FE"/>
    <w:rsid w:val="000655A9"/>
    <w:rsid w:val="00065B21"/>
    <w:rsid w:val="00065B3D"/>
    <w:rsid w:val="00065B81"/>
    <w:rsid w:val="00066394"/>
    <w:rsid w:val="00066421"/>
    <w:rsid w:val="00067421"/>
    <w:rsid w:val="00067D21"/>
    <w:rsid w:val="00067E07"/>
    <w:rsid w:val="00067E81"/>
    <w:rsid w:val="0007016A"/>
    <w:rsid w:val="000708ED"/>
    <w:rsid w:val="00070FBA"/>
    <w:rsid w:val="00071295"/>
    <w:rsid w:val="000717BC"/>
    <w:rsid w:val="000720B8"/>
    <w:rsid w:val="000736C5"/>
    <w:rsid w:val="00073AB1"/>
    <w:rsid w:val="00073E17"/>
    <w:rsid w:val="00074360"/>
    <w:rsid w:val="00074596"/>
    <w:rsid w:val="00074CFD"/>
    <w:rsid w:val="00075CE3"/>
    <w:rsid w:val="00076049"/>
    <w:rsid w:val="000764E6"/>
    <w:rsid w:val="0007693E"/>
    <w:rsid w:val="000779AA"/>
    <w:rsid w:val="000819F7"/>
    <w:rsid w:val="00081D78"/>
    <w:rsid w:val="00082D93"/>
    <w:rsid w:val="000844F8"/>
    <w:rsid w:val="00084E26"/>
    <w:rsid w:val="000850CF"/>
    <w:rsid w:val="0008687E"/>
    <w:rsid w:val="00086D13"/>
    <w:rsid w:val="00086D80"/>
    <w:rsid w:val="0008757C"/>
    <w:rsid w:val="000905EC"/>
    <w:rsid w:val="00090712"/>
    <w:rsid w:val="00093359"/>
    <w:rsid w:val="00093493"/>
    <w:rsid w:val="000935A1"/>
    <w:rsid w:val="00094B65"/>
    <w:rsid w:val="000953D5"/>
    <w:rsid w:val="000972F3"/>
    <w:rsid w:val="00097A14"/>
    <w:rsid w:val="00097BC2"/>
    <w:rsid w:val="000A01DD"/>
    <w:rsid w:val="000A03DD"/>
    <w:rsid w:val="000A05EC"/>
    <w:rsid w:val="000A0A99"/>
    <w:rsid w:val="000A0C8B"/>
    <w:rsid w:val="000A1620"/>
    <w:rsid w:val="000A1737"/>
    <w:rsid w:val="000A2181"/>
    <w:rsid w:val="000A2B11"/>
    <w:rsid w:val="000A3224"/>
    <w:rsid w:val="000A35B8"/>
    <w:rsid w:val="000A42DD"/>
    <w:rsid w:val="000A5CBE"/>
    <w:rsid w:val="000B0165"/>
    <w:rsid w:val="000B09DC"/>
    <w:rsid w:val="000B2FEA"/>
    <w:rsid w:val="000B3217"/>
    <w:rsid w:val="000B3C44"/>
    <w:rsid w:val="000B42BC"/>
    <w:rsid w:val="000B4837"/>
    <w:rsid w:val="000B6C3B"/>
    <w:rsid w:val="000B749A"/>
    <w:rsid w:val="000B78DA"/>
    <w:rsid w:val="000C0451"/>
    <w:rsid w:val="000C24A8"/>
    <w:rsid w:val="000C31AE"/>
    <w:rsid w:val="000C32D4"/>
    <w:rsid w:val="000C4B45"/>
    <w:rsid w:val="000C4B7A"/>
    <w:rsid w:val="000C51CC"/>
    <w:rsid w:val="000C5733"/>
    <w:rsid w:val="000C699D"/>
    <w:rsid w:val="000C6B4F"/>
    <w:rsid w:val="000C791A"/>
    <w:rsid w:val="000D098C"/>
    <w:rsid w:val="000D13F2"/>
    <w:rsid w:val="000D1495"/>
    <w:rsid w:val="000D172C"/>
    <w:rsid w:val="000D18BD"/>
    <w:rsid w:val="000D1B0B"/>
    <w:rsid w:val="000D1CA1"/>
    <w:rsid w:val="000D3007"/>
    <w:rsid w:val="000D3327"/>
    <w:rsid w:val="000D3908"/>
    <w:rsid w:val="000D3FBE"/>
    <w:rsid w:val="000D506F"/>
    <w:rsid w:val="000D5BCC"/>
    <w:rsid w:val="000D609A"/>
    <w:rsid w:val="000D65EA"/>
    <w:rsid w:val="000D67AC"/>
    <w:rsid w:val="000D6976"/>
    <w:rsid w:val="000D7868"/>
    <w:rsid w:val="000E0093"/>
    <w:rsid w:val="000E233B"/>
    <w:rsid w:val="000E2754"/>
    <w:rsid w:val="000E2BC6"/>
    <w:rsid w:val="000E34F1"/>
    <w:rsid w:val="000E414B"/>
    <w:rsid w:val="000E564B"/>
    <w:rsid w:val="000E5D6C"/>
    <w:rsid w:val="000E5FFA"/>
    <w:rsid w:val="000E7479"/>
    <w:rsid w:val="000F1C97"/>
    <w:rsid w:val="000F1ED6"/>
    <w:rsid w:val="000F3371"/>
    <w:rsid w:val="000F67BD"/>
    <w:rsid w:val="000F6BDD"/>
    <w:rsid w:val="000F6D7D"/>
    <w:rsid w:val="00100248"/>
    <w:rsid w:val="0010118E"/>
    <w:rsid w:val="00101403"/>
    <w:rsid w:val="001027EB"/>
    <w:rsid w:val="00102955"/>
    <w:rsid w:val="00102FFB"/>
    <w:rsid w:val="001049E1"/>
    <w:rsid w:val="0010572D"/>
    <w:rsid w:val="001061FF"/>
    <w:rsid w:val="00106ECF"/>
    <w:rsid w:val="001073E9"/>
    <w:rsid w:val="001101B5"/>
    <w:rsid w:val="001106EC"/>
    <w:rsid w:val="00110DF8"/>
    <w:rsid w:val="001111B4"/>
    <w:rsid w:val="00111265"/>
    <w:rsid w:val="00111E9A"/>
    <w:rsid w:val="00112E47"/>
    <w:rsid w:val="001135E0"/>
    <w:rsid w:val="001144A1"/>
    <w:rsid w:val="00114D7E"/>
    <w:rsid w:val="00115601"/>
    <w:rsid w:val="00115EB3"/>
    <w:rsid w:val="001177CB"/>
    <w:rsid w:val="00120D32"/>
    <w:rsid w:val="00120ED9"/>
    <w:rsid w:val="00121E0D"/>
    <w:rsid w:val="001226AA"/>
    <w:rsid w:val="00122A9D"/>
    <w:rsid w:val="00122EA5"/>
    <w:rsid w:val="00124EA8"/>
    <w:rsid w:val="001253CD"/>
    <w:rsid w:val="001256F1"/>
    <w:rsid w:val="00126454"/>
    <w:rsid w:val="00126BD6"/>
    <w:rsid w:val="001277CE"/>
    <w:rsid w:val="00130C00"/>
    <w:rsid w:val="001325A5"/>
    <w:rsid w:val="00132D33"/>
    <w:rsid w:val="00133460"/>
    <w:rsid w:val="00133CE0"/>
    <w:rsid w:val="00134680"/>
    <w:rsid w:val="0013495F"/>
    <w:rsid w:val="00134BBA"/>
    <w:rsid w:val="001359C4"/>
    <w:rsid w:val="00135E2F"/>
    <w:rsid w:val="0013678D"/>
    <w:rsid w:val="00141002"/>
    <w:rsid w:val="00141A69"/>
    <w:rsid w:val="0014221D"/>
    <w:rsid w:val="00142674"/>
    <w:rsid w:val="00142AD7"/>
    <w:rsid w:val="00142C96"/>
    <w:rsid w:val="001437BC"/>
    <w:rsid w:val="001444F7"/>
    <w:rsid w:val="0014471B"/>
    <w:rsid w:val="00145460"/>
    <w:rsid w:val="00146366"/>
    <w:rsid w:val="00146374"/>
    <w:rsid w:val="00146BB2"/>
    <w:rsid w:val="00150786"/>
    <w:rsid w:val="001512DC"/>
    <w:rsid w:val="001530CC"/>
    <w:rsid w:val="0015366C"/>
    <w:rsid w:val="0015387A"/>
    <w:rsid w:val="00156DF5"/>
    <w:rsid w:val="00157C67"/>
    <w:rsid w:val="00160236"/>
    <w:rsid w:val="0016057D"/>
    <w:rsid w:val="0016184E"/>
    <w:rsid w:val="001620CE"/>
    <w:rsid w:val="0016357A"/>
    <w:rsid w:val="001637A2"/>
    <w:rsid w:val="00164788"/>
    <w:rsid w:val="00164A2C"/>
    <w:rsid w:val="00164BE9"/>
    <w:rsid w:val="0016514D"/>
    <w:rsid w:val="00165ACE"/>
    <w:rsid w:val="00165C9E"/>
    <w:rsid w:val="00165CE0"/>
    <w:rsid w:val="00170C5A"/>
    <w:rsid w:val="00170D08"/>
    <w:rsid w:val="001713FC"/>
    <w:rsid w:val="00171643"/>
    <w:rsid w:val="00172A6D"/>
    <w:rsid w:val="00173170"/>
    <w:rsid w:val="0017390E"/>
    <w:rsid w:val="00174657"/>
    <w:rsid w:val="00175856"/>
    <w:rsid w:val="00176F02"/>
    <w:rsid w:val="00177C94"/>
    <w:rsid w:val="00183073"/>
    <w:rsid w:val="001835DD"/>
    <w:rsid w:val="00183E81"/>
    <w:rsid w:val="00184FDC"/>
    <w:rsid w:val="00185E13"/>
    <w:rsid w:val="001862A8"/>
    <w:rsid w:val="00186571"/>
    <w:rsid w:val="00187E9D"/>
    <w:rsid w:val="00190F9F"/>
    <w:rsid w:val="00191E01"/>
    <w:rsid w:val="001935D2"/>
    <w:rsid w:val="00194123"/>
    <w:rsid w:val="001946C4"/>
    <w:rsid w:val="00194A9A"/>
    <w:rsid w:val="001954AA"/>
    <w:rsid w:val="0019697D"/>
    <w:rsid w:val="00197DE1"/>
    <w:rsid w:val="001A0747"/>
    <w:rsid w:val="001A1477"/>
    <w:rsid w:val="001A1998"/>
    <w:rsid w:val="001A2512"/>
    <w:rsid w:val="001A2AA1"/>
    <w:rsid w:val="001A2B0E"/>
    <w:rsid w:val="001A2C01"/>
    <w:rsid w:val="001A3405"/>
    <w:rsid w:val="001A3921"/>
    <w:rsid w:val="001A3E52"/>
    <w:rsid w:val="001A571D"/>
    <w:rsid w:val="001A6122"/>
    <w:rsid w:val="001A7021"/>
    <w:rsid w:val="001A7339"/>
    <w:rsid w:val="001A7682"/>
    <w:rsid w:val="001A7C39"/>
    <w:rsid w:val="001B1592"/>
    <w:rsid w:val="001B1857"/>
    <w:rsid w:val="001B2FDF"/>
    <w:rsid w:val="001B3747"/>
    <w:rsid w:val="001B3805"/>
    <w:rsid w:val="001B4324"/>
    <w:rsid w:val="001B5325"/>
    <w:rsid w:val="001B5A5E"/>
    <w:rsid w:val="001B766D"/>
    <w:rsid w:val="001C030C"/>
    <w:rsid w:val="001C1CD4"/>
    <w:rsid w:val="001C2381"/>
    <w:rsid w:val="001C2B59"/>
    <w:rsid w:val="001C2EAD"/>
    <w:rsid w:val="001C40AF"/>
    <w:rsid w:val="001C476C"/>
    <w:rsid w:val="001C5275"/>
    <w:rsid w:val="001C56A0"/>
    <w:rsid w:val="001C5FE2"/>
    <w:rsid w:val="001C66EB"/>
    <w:rsid w:val="001C731D"/>
    <w:rsid w:val="001C74D0"/>
    <w:rsid w:val="001D08D3"/>
    <w:rsid w:val="001D097E"/>
    <w:rsid w:val="001D0A5B"/>
    <w:rsid w:val="001D0B3D"/>
    <w:rsid w:val="001D192D"/>
    <w:rsid w:val="001D19F4"/>
    <w:rsid w:val="001D2624"/>
    <w:rsid w:val="001D28F5"/>
    <w:rsid w:val="001D2ABF"/>
    <w:rsid w:val="001D3455"/>
    <w:rsid w:val="001D36C5"/>
    <w:rsid w:val="001D3ADE"/>
    <w:rsid w:val="001D4FDC"/>
    <w:rsid w:val="001D5085"/>
    <w:rsid w:val="001D5469"/>
    <w:rsid w:val="001D5B66"/>
    <w:rsid w:val="001D5BB5"/>
    <w:rsid w:val="001D68B6"/>
    <w:rsid w:val="001D6BCA"/>
    <w:rsid w:val="001D7966"/>
    <w:rsid w:val="001E18AC"/>
    <w:rsid w:val="001E1F55"/>
    <w:rsid w:val="001E240F"/>
    <w:rsid w:val="001E43FD"/>
    <w:rsid w:val="001E443A"/>
    <w:rsid w:val="001E457C"/>
    <w:rsid w:val="001E6890"/>
    <w:rsid w:val="001E68B5"/>
    <w:rsid w:val="001E7990"/>
    <w:rsid w:val="001F0B8D"/>
    <w:rsid w:val="001F1888"/>
    <w:rsid w:val="001F25FB"/>
    <w:rsid w:val="001F3CEA"/>
    <w:rsid w:val="001F4436"/>
    <w:rsid w:val="001F4695"/>
    <w:rsid w:val="001F5465"/>
    <w:rsid w:val="001F5593"/>
    <w:rsid w:val="001F624F"/>
    <w:rsid w:val="00200808"/>
    <w:rsid w:val="00201D92"/>
    <w:rsid w:val="002028FB"/>
    <w:rsid w:val="00202A5E"/>
    <w:rsid w:val="00203345"/>
    <w:rsid w:val="002044C1"/>
    <w:rsid w:val="0020485E"/>
    <w:rsid w:val="0020488B"/>
    <w:rsid w:val="002049D6"/>
    <w:rsid w:val="00204EB4"/>
    <w:rsid w:val="002051A5"/>
    <w:rsid w:val="00205A2E"/>
    <w:rsid w:val="00205ACF"/>
    <w:rsid w:val="00205C68"/>
    <w:rsid w:val="00207055"/>
    <w:rsid w:val="00207E59"/>
    <w:rsid w:val="00207EC0"/>
    <w:rsid w:val="002104F1"/>
    <w:rsid w:val="00210AE7"/>
    <w:rsid w:val="002127EA"/>
    <w:rsid w:val="00212B68"/>
    <w:rsid w:val="0021303C"/>
    <w:rsid w:val="002134BC"/>
    <w:rsid w:val="00213AF5"/>
    <w:rsid w:val="002147E0"/>
    <w:rsid w:val="002150CE"/>
    <w:rsid w:val="002154DC"/>
    <w:rsid w:val="0022165D"/>
    <w:rsid w:val="00221726"/>
    <w:rsid w:val="0022182D"/>
    <w:rsid w:val="002223A0"/>
    <w:rsid w:val="002246D9"/>
    <w:rsid w:val="002248B5"/>
    <w:rsid w:val="00224C33"/>
    <w:rsid w:val="0022503C"/>
    <w:rsid w:val="002262C4"/>
    <w:rsid w:val="00227488"/>
    <w:rsid w:val="002278ED"/>
    <w:rsid w:val="00230618"/>
    <w:rsid w:val="00231A78"/>
    <w:rsid w:val="00231C1A"/>
    <w:rsid w:val="00233545"/>
    <w:rsid w:val="00233A4B"/>
    <w:rsid w:val="00233A51"/>
    <w:rsid w:val="00235021"/>
    <w:rsid w:val="002351C1"/>
    <w:rsid w:val="00235665"/>
    <w:rsid w:val="0023571E"/>
    <w:rsid w:val="00235A94"/>
    <w:rsid w:val="00236E10"/>
    <w:rsid w:val="00237FF7"/>
    <w:rsid w:val="0024005C"/>
    <w:rsid w:val="00240E64"/>
    <w:rsid w:val="00241AF6"/>
    <w:rsid w:val="00241EBA"/>
    <w:rsid w:val="00242231"/>
    <w:rsid w:val="0024251E"/>
    <w:rsid w:val="002427E0"/>
    <w:rsid w:val="00242B3E"/>
    <w:rsid w:val="002433FB"/>
    <w:rsid w:val="002438E4"/>
    <w:rsid w:val="00243DEB"/>
    <w:rsid w:val="00243F00"/>
    <w:rsid w:val="00244281"/>
    <w:rsid w:val="00244EB6"/>
    <w:rsid w:val="0024583A"/>
    <w:rsid w:val="002474FA"/>
    <w:rsid w:val="0024791F"/>
    <w:rsid w:val="0025093B"/>
    <w:rsid w:val="00251ACA"/>
    <w:rsid w:val="002520B3"/>
    <w:rsid w:val="002524D3"/>
    <w:rsid w:val="00252735"/>
    <w:rsid w:val="0025332D"/>
    <w:rsid w:val="002538B8"/>
    <w:rsid w:val="00253C65"/>
    <w:rsid w:val="0025477B"/>
    <w:rsid w:val="00254F7D"/>
    <w:rsid w:val="002561EA"/>
    <w:rsid w:val="002563E6"/>
    <w:rsid w:val="002574AF"/>
    <w:rsid w:val="00257598"/>
    <w:rsid w:val="00260132"/>
    <w:rsid w:val="00260A74"/>
    <w:rsid w:val="002610AC"/>
    <w:rsid w:val="002618EC"/>
    <w:rsid w:val="0026312F"/>
    <w:rsid w:val="00263F35"/>
    <w:rsid w:val="00264212"/>
    <w:rsid w:val="00264B00"/>
    <w:rsid w:val="002676C2"/>
    <w:rsid w:val="00270A8D"/>
    <w:rsid w:val="00271D55"/>
    <w:rsid w:val="0027224A"/>
    <w:rsid w:val="00274272"/>
    <w:rsid w:val="00274A9A"/>
    <w:rsid w:val="0027517B"/>
    <w:rsid w:val="002763B8"/>
    <w:rsid w:val="00276C1F"/>
    <w:rsid w:val="00276CA1"/>
    <w:rsid w:val="00276E06"/>
    <w:rsid w:val="00277C8D"/>
    <w:rsid w:val="00277E01"/>
    <w:rsid w:val="00280143"/>
    <w:rsid w:val="00280920"/>
    <w:rsid w:val="00280939"/>
    <w:rsid w:val="00281B9B"/>
    <w:rsid w:val="002820AA"/>
    <w:rsid w:val="002823DF"/>
    <w:rsid w:val="00282677"/>
    <w:rsid w:val="00282AAC"/>
    <w:rsid w:val="00282FBE"/>
    <w:rsid w:val="00283824"/>
    <w:rsid w:val="00283985"/>
    <w:rsid w:val="00283F98"/>
    <w:rsid w:val="002840B1"/>
    <w:rsid w:val="00285A6C"/>
    <w:rsid w:val="00285F2D"/>
    <w:rsid w:val="00285F88"/>
    <w:rsid w:val="00286DF6"/>
    <w:rsid w:val="0028771A"/>
    <w:rsid w:val="00287E19"/>
    <w:rsid w:val="00290C7D"/>
    <w:rsid w:val="00290E28"/>
    <w:rsid w:val="002911E9"/>
    <w:rsid w:val="002920CB"/>
    <w:rsid w:val="002927E9"/>
    <w:rsid w:val="00293CAF"/>
    <w:rsid w:val="002954EA"/>
    <w:rsid w:val="002963A2"/>
    <w:rsid w:val="00296943"/>
    <w:rsid w:val="002969F1"/>
    <w:rsid w:val="0029715A"/>
    <w:rsid w:val="00297370"/>
    <w:rsid w:val="002A0177"/>
    <w:rsid w:val="002A155C"/>
    <w:rsid w:val="002A1CBA"/>
    <w:rsid w:val="002A235B"/>
    <w:rsid w:val="002A2454"/>
    <w:rsid w:val="002A29F5"/>
    <w:rsid w:val="002A3390"/>
    <w:rsid w:val="002A359E"/>
    <w:rsid w:val="002A43D4"/>
    <w:rsid w:val="002A5D2F"/>
    <w:rsid w:val="002A636D"/>
    <w:rsid w:val="002A6BF2"/>
    <w:rsid w:val="002A764F"/>
    <w:rsid w:val="002A77A6"/>
    <w:rsid w:val="002B00F8"/>
    <w:rsid w:val="002B0CA1"/>
    <w:rsid w:val="002B10A2"/>
    <w:rsid w:val="002B1239"/>
    <w:rsid w:val="002B3D43"/>
    <w:rsid w:val="002B5620"/>
    <w:rsid w:val="002B5CF2"/>
    <w:rsid w:val="002B636B"/>
    <w:rsid w:val="002B64E1"/>
    <w:rsid w:val="002B69DF"/>
    <w:rsid w:val="002B7714"/>
    <w:rsid w:val="002B7C40"/>
    <w:rsid w:val="002B7C75"/>
    <w:rsid w:val="002C02C1"/>
    <w:rsid w:val="002C088C"/>
    <w:rsid w:val="002C0B73"/>
    <w:rsid w:val="002C2787"/>
    <w:rsid w:val="002C2B18"/>
    <w:rsid w:val="002C2D89"/>
    <w:rsid w:val="002C5CFF"/>
    <w:rsid w:val="002C71A7"/>
    <w:rsid w:val="002D08F6"/>
    <w:rsid w:val="002D0D67"/>
    <w:rsid w:val="002D0F2D"/>
    <w:rsid w:val="002D110A"/>
    <w:rsid w:val="002D1523"/>
    <w:rsid w:val="002D2025"/>
    <w:rsid w:val="002D2F4D"/>
    <w:rsid w:val="002D3031"/>
    <w:rsid w:val="002D3852"/>
    <w:rsid w:val="002D4129"/>
    <w:rsid w:val="002D5D8E"/>
    <w:rsid w:val="002D6ADC"/>
    <w:rsid w:val="002D7578"/>
    <w:rsid w:val="002E0C4B"/>
    <w:rsid w:val="002E1ECF"/>
    <w:rsid w:val="002E2A84"/>
    <w:rsid w:val="002E31DD"/>
    <w:rsid w:val="002E3FFD"/>
    <w:rsid w:val="002E44BB"/>
    <w:rsid w:val="002E4D44"/>
    <w:rsid w:val="002E5503"/>
    <w:rsid w:val="002E5FA1"/>
    <w:rsid w:val="002E6031"/>
    <w:rsid w:val="002E683E"/>
    <w:rsid w:val="002E68C6"/>
    <w:rsid w:val="002E6A53"/>
    <w:rsid w:val="002E7253"/>
    <w:rsid w:val="002E7E4C"/>
    <w:rsid w:val="002F0E38"/>
    <w:rsid w:val="002F1649"/>
    <w:rsid w:val="002F2C2E"/>
    <w:rsid w:val="002F353A"/>
    <w:rsid w:val="002F3650"/>
    <w:rsid w:val="002F3B83"/>
    <w:rsid w:val="002F48BC"/>
    <w:rsid w:val="002F53AF"/>
    <w:rsid w:val="002F58DD"/>
    <w:rsid w:val="002F7628"/>
    <w:rsid w:val="003004E8"/>
    <w:rsid w:val="00300AE2"/>
    <w:rsid w:val="00300D6D"/>
    <w:rsid w:val="003013CA"/>
    <w:rsid w:val="00301664"/>
    <w:rsid w:val="00301E20"/>
    <w:rsid w:val="00302415"/>
    <w:rsid w:val="00302989"/>
    <w:rsid w:val="00303B07"/>
    <w:rsid w:val="00303D7D"/>
    <w:rsid w:val="003051D2"/>
    <w:rsid w:val="00306172"/>
    <w:rsid w:val="00306BFB"/>
    <w:rsid w:val="00307909"/>
    <w:rsid w:val="0031053C"/>
    <w:rsid w:val="00310DD0"/>
    <w:rsid w:val="00311890"/>
    <w:rsid w:val="00312778"/>
    <w:rsid w:val="00312B3E"/>
    <w:rsid w:val="00312D5C"/>
    <w:rsid w:val="003130B7"/>
    <w:rsid w:val="00314B5C"/>
    <w:rsid w:val="00315D5F"/>
    <w:rsid w:val="00316708"/>
    <w:rsid w:val="00316A75"/>
    <w:rsid w:val="00316DAB"/>
    <w:rsid w:val="00317286"/>
    <w:rsid w:val="00317776"/>
    <w:rsid w:val="00321B59"/>
    <w:rsid w:val="00321C46"/>
    <w:rsid w:val="0032205A"/>
    <w:rsid w:val="00322CA3"/>
    <w:rsid w:val="00323090"/>
    <w:rsid w:val="00323389"/>
    <w:rsid w:val="00323427"/>
    <w:rsid w:val="003239D7"/>
    <w:rsid w:val="00323E49"/>
    <w:rsid w:val="00325474"/>
    <w:rsid w:val="0033207B"/>
    <w:rsid w:val="00333A9E"/>
    <w:rsid w:val="00333C8A"/>
    <w:rsid w:val="00334A75"/>
    <w:rsid w:val="00334F9C"/>
    <w:rsid w:val="003350B1"/>
    <w:rsid w:val="00335581"/>
    <w:rsid w:val="0033656E"/>
    <w:rsid w:val="00337806"/>
    <w:rsid w:val="00342BF0"/>
    <w:rsid w:val="00342CC2"/>
    <w:rsid w:val="00342D91"/>
    <w:rsid w:val="00343AF6"/>
    <w:rsid w:val="00343F6D"/>
    <w:rsid w:val="003442D7"/>
    <w:rsid w:val="00344304"/>
    <w:rsid w:val="00345221"/>
    <w:rsid w:val="00345431"/>
    <w:rsid w:val="00345652"/>
    <w:rsid w:val="003461BF"/>
    <w:rsid w:val="00346F42"/>
    <w:rsid w:val="00347CF5"/>
    <w:rsid w:val="003500DE"/>
    <w:rsid w:val="00350274"/>
    <w:rsid w:val="0035069E"/>
    <w:rsid w:val="0035092F"/>
    <w:rsid w:val="0035196D"/>
    <w:rsid w:val="00351FBD"/>
    <w:rsid w:val="003520D0"/>
    <w:rsid w:val="003527FB"/>
    <w:rsid w:val="00352F61"/>
    <w:rsid w:val="00353DB6"/>
    <w:rsid w:val="00354D20"/>
    <w:rsid w:val="0035521D"/>
    <w:rsid w:val="00355554"/>
    <w:rsid w:val="003555EE"/>
    <w:rsid w:val="00355918"/>
    <w:rsid w:val="00357789"/>
    <w:rsid w:val="00357FA3"/>
    <w:rsid w:val="003619D8"/>
    <w:rsid w:val="00361B90"/>
    <w:rsid w:val="00362022"/>
    <w:rsid w:val="003657AA"/>
    <w:rsid w:val="00370750"/>
    <w:rsid w:val="003717EF"/>
    <w:rsid w:val="00371BC8"/>
    <w:rsid w:val="00371EA3"/>
    <w:rsid w:val="00372914"/>
    <w:rsid w:val="00372985"/>
    <w:rsid w:val="00372AFD"/>
    <w:rsid w:val="00372C44"/>
    <w:rsid w:val="00372DD2"/>
    <w:rsid w:val="00372FFE"/>
    <w:rsid w:val="00374727"/>
    <w:rsid w:val="003748D9"/>
    <w:rsid w:val="003749CA"/>
    <w:rsid w:val="00374F98"/>
    <w:rsid w:val="0037654A"/>
    <w:rsid w:val="00376608"/>
    <w:rsid w:val="0037674B"/>
    <w:rsid w:val="00380B29"/>
    <w:rsid w:val="00381A1A"/>
    <w:rsid w:val="00381E70"/>
    <w:rsid w:val="00381EEB"/>
    <w:rsid w:val="00383A43"/>
    <w:rsid w:val="00384805"/>
    <w:rsid w:val="00386F95"/>
    <w:rsid w:val="00387041"/>
    <w:rsid w:val="0038740E"/>
    <w:rsid w:val="003875B3"/>
    <w:rsid w:val="00387B1E"/>
    <w:rsid w:val="0039052E"/>
    <w:rsid w:val="003908EA"/>
    <w:rsid w:val="00390D4B"/>
    <w:rsid w:val="00391DD2"/>
    <w:rsid w:val="0039312A"/>
    <w:rsid w:val="0039334B"/>
    <w:rsid w:val="00394200"/>
    <w:rsid w:val="0039453E"/>
    <w:rsid w:val="00395298"/>
    <w:rsid w:val="00395A93"/>
    <w:rsid w:val="003A1634"/>
    <w:rsid w:val="003A1A0D"/>
    <w:rsid w:val="003A22D0"/>
    <w:rsid w:val="003A2872"/>
    <w:rsid w:val="003A2AF7"/>
    <w:rsid w:val="003A2D68"/>
    <w:rsid w:val="003A4322"/>
    <w:rsid w:val="003A5000"/>
    <w:rsid w:val="003A5642"/>
    <w:rsid w:val="003A5AD8"/>
    <w:rsid w:val="003A5EEF"/>
    <w:rsid w:val="003A6741"/>
    <w:rsid w:val="003A6D1A"/>
    <w:rsid w:val="003A753B"/>
    <w:rsid w:val="003B16E3"/>
    <w:rsid w:val="003B1E93"/>
    <w:rsid w:val="003B23E2"/>
    <w:rsid w:val="003B2457"/>
    <w:rsid w:val="003B291A"/>
    <w:rsid w:val="003B2C70"/>
    <w:rsid w:val="003B50D4"/>
    <w:rsid w:val="003B53F4"/>
    <w:rsid w:val="003B6B09"/>
    <w:rsid w:val="003B788A"/>
    <w:rsid w:val="003C143F"/>
    <w:rsid w:val="003C152F"/>
    <w:rsid w:val="003C18C1"/>
    <w:rsid w:val="003C1D22"/>
    <w:rsid w:val="003C268C"/>
    <w:rsid w:val="003C2B83"/>
    <w:rsid w:val="003C307A"/>
    <w:rsid w:val="003C30FD"/>
    <w:rsid w:val="003C43CE"/>
    <w:rsid w:val="003C5205"/>
    <w:rsid w:val="003C5776"/>
    <w:rsid w:val="003C57C2"/>
    <w:rsid w:val="003C5BBD"/>
    <w:rsid w:val="003C5CF4"/>
    <w:rsid w:val="003C68C3"/>
    <w:rsid w:val="003C6BB5"/>
    <w:rsid w:val="003C6E4A"/>
    <w:rsid w:val="003C71B2"/>
    <w:rsid w:val="003C761A"/>
    <w:rsid w:val="003D094F"/>
    <w:rsid w:val="003D1688"/>
    <w:rsid w:val="003D176A"/>
    <w:rsid w:val="003D23EF"/>
    <w:rsid w:val="003D2698"/>
    <w:rsid w:val="003D48F8"/>
    <w:rsid w:val="003D556E"/>
    <w:rsid w:val="003D6E2A"/>
    <w:rsid w:val="003D7593"/>
    <w:rsid w:val="003E0456"/>
    <w:rsid w:val="003E0D0B"/>
    <w:rsid w:val="003E15CD"/>
    <w:rsid w:val="003E2AE8"/>
    <w:rsid w:val="003E41DC"/>
    <w:rsid w:val="003E41E8"/>
    <w:rsid w:val="003E493A"/>
    <w:rsid w:val="003E5AFE"/>
    <w:rsid w:val="003E5D62"/>
    <w:rsid w:val="003E6052"/>
    <w:rsid w:val="003E6E9B"/>
    <w:rsid w:val="003E7865"/>
    <w:rsid w:val="003F038F"/>
    <w:rsid w:val="003F03F2"/>
    <w:rsid w:val="003F0517"/>
    <w:rsid w:val="003F05BA"/>
    <w:rsid w:val="003F110E"/>
    <w:rsid w:val="003F161D"/>
    <w:rsid w:val="003F213C"/>
    <w:rsid w:val="003F34BA"/>
    <w:rsid w:val="003F4F4E"/>
    <w:rsid w:val="003F549B"/>
    <w:rsid w:val="003F5C91"/>
    <w:rsid w:val="003F60E3"/>
    <w:rsid w:val="003F7AC3"/>
    <w:rsid w:val="00401522"/>
    <w:rsid w:val="00402A63"/>
    <w:rsid w:val="0040355F"/>
    <w:rsid w:val="00405CB5"/>
    <w:rsid w:val="004061A6"/>
    <w:rsid w:val="00410166"/>
    <w:rsid w:val="00411D90"/>
    <w:rsid w:val="0041268B"/>
    <w:rsid w:val="00413260"/>
    <w:rsid w:val="00413FA3"/>
    <w:rsid w:val="0041480D"/>
    <w:rsid w:val="00415468"/>
    <w:rsid w:val="0041570F"/>
    <w:rsid w:val="00416112"/>
    <w:rsid w:val="0041677F"/>
    <w:rsid w:val="00417063"/>
    <w:rsid w:val="0042031E"/>
    <w:rsid w:val="004204E6"/>
    <w:rsid w:val="0042089A"/>
    <w:rsid w:val="00421562"/>
    <w:rsid w:val="00421B65"/>
    <w:rsid w:val="004226BE"/>
    <w:rsid w:val="004233D1"/>
    <w:rsid w:val="004238B4"/>
    <w:rsid w:val="004247A7"/>
    <w:rsid w:val="00425250"/>
    <w:rsid w:val="00426ED1"/>
    <w:rsid w:val="004307BA"/>
    <w:rsid w:val="00430AEF"/>
    <w:rsid w:val="00430CE1"/>
    <w:rsid w:val="0043163B"/>
    <w:rsid w:val="00431646"/>
    <w:rsid w:val="00431E32"/>
    <w:rsid w:val="00432082"/>
    <w:rsid w:val="0043351C"/>
    <w:rsid w:val="00435AB3"/>
    <w:rsid w:val="004370D1"/>
    <w:rsid w:val="00437559"/>
    <w:rsid w:val="004379F7"/>
    <w:rsid w:val="00437D95"/>
    <w:rsid w:val="00437EDD"/>
    <w:rsid w:val="00441BD8"/>
    <w:rsid w:val="00442458"/>
    <w:rsid w:val="00443737"/>
    <w:rsid w:val="00444602"/>
    <w:rsid w:val="004446FB"/>
    <w:rsid w:val="00444B1B"/>
    <w:rsid w:val="00444F50"/>
    <w:rsid w:val="0044510E"/>
    <w:rsid w:val="00445C5E"/>
    <w:rsid w:val="004461A9"/>
    <w:rsid w:val="00446401"/>
    <w:rsid w:val="00447019"/>
    <w:rsid w:val="004478BD"/>
    <w:rsid w:val="00447D23"/>
    <w:rsid w:val="00450874"/>
    <w:rsid w:val="0045138B"/>
    <w:rsid w:val="004516BB"/>
    <w:rsid w:val="00451B62"/>
    <w:rsid w:val="00453668"/>
    <w:rsid w:val="00454148"/>
    <w:rsid w:val="00454995"/>
    <w:rsid w:val="00455501"/>
    <w:rsid w:val="00456082"/>
    <w:rsid w:val="00457AAE"/>
    <w:rsid w:val="00457C5E"/>
    <w:rsid w:val="00457C93"/>
    <w:rsid w:val="0046085E"/>
    <w:rsid w:val="00460C92"/>
    <w:rsid w:val="00461A21"/>
    <w:rsid w:val="00461A87"/>
    <w:rsid w:val="00461F71"/>
    <w:rsid w:val="00461F85"/>
    <w:rsid w:val="00462525"/>
    <w:rsid w:val="00462F86"/>
    <w:rsid w:val="0046355F"/>
    <w:rsid w:val="0046430A"/>
    <w:rsid w:val="00464885"/>
    <w:rsid w:val="004654C2"/>
    <w:rsid w:val="00465F75"/>
    <w:rsid w:val="00467026"/>
    <w:rsid w:val="0046703C"/>
    <w:rsid w:val="004677C8"/>
    <w:rsid w:val="00467DA8"/>
    <w:rsid w:val="0047118E"/>
    <w:rsid w:val="00471341"/>
    <w:rsid w:val="004714AF"/>
    <w:rsid w:val="004719EA"/>
    <w:rsid w:val="00471A57"/>
    <w:rsid w:val="00472D8B"/>
    <w:rsid w:val="004736B7"/>
    <w:rsid w:val="00473D93"/>
    <w:rsid w:val="00473E39"/>
    <w:rsid w:val="004743D7"/>
    <w:rsid w:val="00474743"/>
    <w:rsid w:val="00474C7A"/>
    <w:rsid w:val="004751BF"/>
    <w:rsid w:val="0047569D"/>
    <w:rsid w:val="00476121"/>
    <w:rsid w:val="00476467"/>
    <w:rsid w:val="00476AC0"/>
    <w:rsid w:val="00480B05"/>
    <w:rsid w:val="00481F86"/>
    <w:rsid w:val="004823B8"/>
    <w:rsid w:val="004837F8"/>
    <w:rsid w:val="00483C80"/>
    <w:rsid w:val="00483FAC"/>
    <w:rsid w:val="00483FF3"/>
    <w:rsid w:val="00484FCA"/>
    <w:rsid w:val="0048727C"/>
    <w:rsid w:val="00487A8F"/>
    <w:rsid w:val="00487B64"/>
    <w:rsid w:val="00490C25"/>
    <w:rsid w:val="00493697"/>
    <w:rsid w:val="00493CF7"/>
    <w:rsid w:val="00494DB1"/>
    <w:rsid w:val="004966CD"/>
    <w:rsid w:val="00496839"/>
    <w:rsid w:val="004970C0"/>
    <w:rsid w:val="0049790E"/>
    <w:rsid w:val="00497949"/>
    <w:rsid w:val="00497E32"/>
    <w:rsid w:val="004A02AA"/>
    <w:rsid w:val="004A102A"/>
    <w:rsid w:val="004A1FA5"/>
    <w:rsid w:val="004A2105"/>
    <w:rsid w:val="004A4881"/>
    <w:rsid w:val="004A48C2"/>
    <w:rsid w:val="004A496B"/>
    <w:rsid w:val="004A4B20"/>
    <w:rsid w:val="004A5D35"/>
    <w:rsid w:val="004A62D3"/>
    <w:rsid w:val="004A64EE"/>
    <w:rsid w:val="004B01A1"/>
    <w:rsid w:val="004B0B71"/>
    <w:rsid w:val="004B1477"/>
    <w:rsid w:val="004B1798"/>
    <w:rsid w:val="004B3A1C"/>
    <w:rsid w:val="004B4813"/>
    <w:rsid w:val="004B4A8F"/>
    <w:rsid w:val="004B5917"/>
    <w:rsid w:val="004B6EE9"/>
    <w:rsid w:val="004C0AAE"/>
    <w:rsid w:val="004C0B88"/>
    <w:rsid w:val="004C2231"/>
    <w:rsid w:val="004C389B"/>
    <w:rsid w:val="004C4BEA"/>
    <w:rsid w:val="004C4D42"/>
    <w:rsid w:val="004C76BE"/>
    <w:rsid w:val="004D0DDD"/>
    <w:rsid w:val="004D0F6E"/>
    <w:rsid w:val="004D167C"/>
    <w:rsid w:val="004D1C6A"/>
    <w:rsid w:val="004D1C78"/>
    <w:rsid w:val="004D2DE5"/>
    <w:rsid w:val="004D3D3A"/>
    <w:rsid w:val="004D50ED"/>
    <w:rsid w:val="004D59B3"/>
    <w:rsid w:val="004D5E71"/>
    <w:rsid w:val="004D64D2"/>
    <w:rsid w:val="004D77D0"/>
    <w:rsid w:val="004D781C"/>
    <w:rsid w:val="004D7A63"/>
    <w:rsid w:val="004E02A2"/>
    <w:rsid w:val="004E07F2"/>
    <w:rsid w:val="004E10CA"/>
    <w:rsid w:val="004E1754"/>
    <w:rsid w:val="004E270A"/>
    <w:rsid w:val="004E3901"/>
    <w:rsid w:val="004E4ACA"/>
    <w:rsid w:val="004E55D1"/>
    <w:rsid w:val="004E68BB"/>
    <w:rsid w:val="004E6CC6"/>
    <w:rsid w:val="004E6D90"/>
    <w:rsid w:val="004E6F75"/>
    <w:rsid w:val="004F28EE"/>
    <w:rsid w:val="004F2FE1"/>
    <w:rsid w:val="004F4CC5"/>
    <w:rsid w:val="004F5450"/>
    <w:rsid w:val="004F6619"/>
    <w:rsid w:val="004F6698"/>
    <w:rsid w:val="004F6A3A"/>
    <w:rsid w:val="004F6BF1"/>
    <w:rsid w:val="004F7E7D"/>
    <w:rsid w:val="005018D6"/>
    <w:rsid w:val="00501D0C"/>
    <w:rsid w:val="00502242"/>
    <w:rsid w:val="0050235C"/>
    <w:rsid w:val="00502CEF"/>
    <w:rsid w:val="00503255"/>
    <w:rsid w:val="005035A7"/>
    <w:rsid w:val="005038E7"/>
    <w:rsid w:val="00504012"/>
    <w:rsid w:val="0050474E"/>
    <w:rsid w:val="00504985"/>
    <w:rsid w:val="005064FD"/>
    <w:rsid w:val="00506E06"/>
    <w:rsid w:val="0050713F"/>
    <w:rsid w:val="005072CB"/>
    <w:rsid w:val="0050776B"/>
    <w:rsid w:val="00510F83"/>
    <w:rsid w:val="0051134D"/>
    <w:rsid w:val="0051219B"/>
    <w:rsid w:val="00512EB6"/>
    <w:rsid w:val="005131CD"/>
    <w:rsid w:val="00513C45"/>
    <w:rsid w:val="00514765"/>
    <w:rsid w:val="00514EF7"/>
    <w:rsid w:val="005164B1"/>
    <w:rsid w:val="0051779E"/>
    <w:rsid w:val="00520E1F"/>
    <w:rsid w:val="005221B0"/>
    <w:rsid w:val="0052249D"/>
    <w:rsid w:val="005225B8"/>
    <w:rsid w:val="00523E9B"/>
    <w:rsid w:val="00524233"/>
    <w:rsid w:val="0052458E"/>
    <w:rsid w:val="00524EFE"/>
    <w:rsid w:val="005258CF"/>
    <w:rsid w:val="00526CE3"/>
    <w:rsid w:val="00526CF2"/>
    <w:rsid w:val="00527177"/>
    <w:rsid w:val="005279FA"/>
    <w:rsid w:val="00527F31"/>
    <w:rsid w:val="005306A3"/>
    <w:rsid w:val="00530D44"/>
    <w:rsid w:val="00531125"/>
    <w:rsid w:val="00531FED"/>
    <w:rsid w:val="0053289D"/>
    <w:rsid w:val="0053290D"/>
    <w:rsid w:val="005344D9"/>
    <w:rsid w:val="005353D8"/>
    <w:rsid w:val="005357B7"/>
    <w:rsid w:val="00536252"/>
    <w:rsid w:val="00536556"/>
    <w:rsid w:val="005378CB"/>
    <w:rsid w:val="00537D7F"/>
    <w:rsid w:val="00540ED3"/>
    <w:rsid w:val="005416ED"/>
    <w:rsid w:val="00543249"/>
    <w:rsid w:val="0054350A"/>
    <w:rsid w:val="00543A38"/>
    <w:rsid w:val="00543C2B"/>
    <w:rsid w:val="00544869"/>
    <w:rsid w:val="00544E4D"/>
    <w:rsid w:val="005459F8"/>
    <w:rsid w:val="005466F7"/>
    <w:rsid w:val="005474D7"/>
    <w:rsid w:val="005479EA"/>
    <w:rsid w:val="00547BA1"/>
    <w:rsid w:val="0055004A"/>
    <w:rsid w:val="0055011B"/>
    <w:rsid w:val="00551794"/>
    <w:rsid w:val="005519E3"/>
    <w:rsid w:val="00551DB0"/>
    <w:rsid w:val="0055207D"/>
    <w:rsid w:val="00552F49"/>
    <w:rsid w:val="00554A47"/>
    <w:rsid w:val="00555493"/>
    <w:rsid w:val="0055549E"/>
    <w:rsid w:val="005561DC"/>
    <w:rsid w:val="005566B3"/>
    <w:rsid w:val="00557C85"/>
    <w:rsid w:val="00560EC4"/>
    <w:rsid w:val="005629C6"/>
    <w:rsid w:val="00563B04"/>
    <w:rsid w:val="0056429F"/>
    <w:rsid w:val="00565947"/>
    <w:rsid w:val="00566700"/>
    <w:rsid w:val="00567F21"/>
    <w:rsid w:val="00570D72"/>
    <w:rsid w:val="00571810"/>
    <w:rsid w:val="00571B6D"/>
    <w:rsid w:val="00571D43"/>
    <w:rsid w:val="00572585"/>
    <w:rsid w:val="005733B6"/>
    <w:rsid w:val="00573D45"/>
    <w:rsid w:val="00577C87"/>
    <w:rsid w:val="00581755"/>
    <w:rsid w:val="00581E32"/>
    <w:rsid w:val="00582613"/>
    <w:rsid w:val="0058343E"/>
    <w:rsid w:val="005834D8"/>
    <w:rsid w:val="0058359B"/>
    <w:rsid w:val="00583E98"/>
    <w:rsid w:val="005843F1"/>
    <w:rsid w:val="005851AC"/>
    <w:rsid w:val="00585447"/>
    <w:rsid w:val="00586909"/>
    <w:rsid w:val="00586F85"/>
    <w:rsid w:val="005873E4"/>
    <w:rsid w:val="005879B7"/>
    <w:rsid w:val="00590270"/>
    <w:rsid w:val="00590A1A"/>
    <w:rsid w:val="005910A6"/>
    <w:rsid w:val="00591A72"/>
    <w:rsid w:val="00591CC3"/>
    <w:rsid w:val="00592426"/>
    <w:rsid w:val="00592A98"/>
    <w:rsid w:val="005930C6"/>
    <w:rsid w:val="0059392F"/>
    <w:rsid w:val="00593A0B"/>
    <w:rsid w:val="005942CD"/>
    <w:rsid w:val="00594BC3"/>
    <w:rsid w:val="00594F76"/>
    <w:rsid w:val="005951B2"/>
    <w:rsid w:val="00595804"/>
    <w:rsid w:val="00595A74"/>
    <w:rsid w:val="00596249"/>
    <w:rsid w:val="005A03BA"/>
    <w:rsid w:val="005A0693"/>
    <w:rsid w:val="005A0C17"/>
    <w:rsid w:val="005A1403"/>
    <w:rsid w:val="005A16A6"/>
    <w:rsid w:val="005A1848"/>
    <w:rsid w:val="005A3409"/>
    <w:rsid w:val="005A3A8C"/>
    <w:rsid w:val="005A3DDA"/>
    <w:rsid w:val="005A41DD"/>
    <w:rsid w:val="005A44B2"/>
    <w:rsid w:val="005A53B7"/>
    <w:rsid w:val="005A683F"/>
    <w:rsid w:val="005A755E"/>
    <w:rsid w:val="005B085E"/>
    <w:rsid w:val="005B08F2"/>
    <w:rsid w:val="005B0C76"/>
    <w:rsid w:val="005B0ED3"/>
    <w:rsid w:val="005B12A9"/>
    <w:rsid w:val="005B1625"/>
    <w:rsid w:val="005B22D5"/>
    <w:rsid w:val="005B3032"/>
    <w:rsid w:val="005B3439"/>
    <w:rsid w:val="005B3A2C"/>
    <w:rsid w:val="005B4A59"/>
    <w:rsid w:val="005B5B52"/>
    <w:rsid w:val="005B5E6E"/>
    <w:rsid w:val="005B646E"/>
    <w:rsid w:val="005B66DB"/>
    <w:rsid w:val="005B7AAD"/>
    <w:rsid w:val="005C0C9E"/>
    <w:rsid w:val="005C1834"/>
    <w:rsid w:val="005C196C"/>
    <w:rsid w:val="005C1A06"/>
    <w:rsid w:val="005C1C7D"/>
    <w:rsid w:val="005C225C"/>
    <w:rsid w:val="005C3C08"/>
    <w:rsid w:val="005C67F7"/>
    <w:rsid w:val="005C7057"/>
    <w:rsid w:val="005C70E6"/>
    <w:rsid w:val="005C740C"/>
    <w:rsid w:val="005D0FCB"/>
    <w:rsid w:val="005D1FF2"/>
    <w:rsid w:val="005D5FD4"/>
    <w:rsid w:val="005D6545"/>
    <w:rsid w:val="005D6B40"/>
    <w:rsid w:val="005D7D78"/>
    <w:rsid w:val="005D7D8D"/>
    <w:rsid w:val="005E0346"/>
    <w:rsid w:val="005E09B4"/>
    <w:rsid w:val="005E0D9B"/>
    <w:rsid w:val="005E2BCD"/>
    <w:rsid w:val="005E2D68"/>
    <w:rsid w:val="005E2E89"/>
    <w:rsid w:val="005E51CC"/>
    <w:rsid w:val="005E612D"/>
    <w:rsid w:val="005E67BC"/>
    <w:rsid w:val="005E6B0E"/>
    <w:rsid w:val="005E7277"/>
    <w:rsid w:val="005F0247"/>
    <w:rsid w:val="005F0988"/>
    <w:rsid w:val="005F17BE"/>
    <w:rsid w:val="005F23F3"/>
    <w:rsid w:val="005F36C0"/>
    <w:rsid w:val="005F3B4D"/>
    <w:rsid w:val="005F3FE7"/>
    <w:rsid w:val="005F5930"/>
    <w:rsid w:val="005F638F"/>
    <w:rsid w:val="005F642F"/>
    <w:rsid w:val="005F6666"/>
    <w:rsid w:val="005F75BC"/>
    <w:rsid w:val="00600A79"/>
    <w:rsid w:val="00600EC4"/>
    <w:rsid w:val="00602011"/>
    <w:rsid w:val="006029A0"/>
    <w:rsid w:val="0060326D"/>
    <w:rsid w:val="00603304"/>
    <w:rsid w:val="006036B9"/>
    <w:rsid w:val="00603753"/>
    <w:rsid w:val="00604684"/>
    <w:rsid w:val="006052AF"/>
    <w:rsid w:val="00610364"/>
    <w:rsid w:val="006108DA"/>
    <w:rsid w:val="00610D27"/>
    <w:rsid w:val="00610EB2"/>
    <w:rsid w:val="00612063"/>
    <w:rsid w:val="00612100"/>
    <w:rsid w:val="006122A8"/>
    <w:rsid w:val="00612E74"/>
    <w:rsid w:val="0061334C"/>
    <w:rsid w:val="00613624"/>
    <w:rsid w:val="00613728"/>
    <w:rsid w:val="00613DAD"/>
    <w:rsid w:val="00614CA5"/>
    <w:rsid w:val="0061522C"/>
    <w:rsid w:val="006153A0"/>
    <w:rsid w:val="00615AC2"/>
    <w:rsid w:val="0061783E"/>
    <w:rsid w:val="00620DCE"/>
    <w:rsid w:val="006215CF"/>
    <w:rsid w:val="00621928"/>
    <w:rsid w:val="00621BBF"/>
    <w:rsid w:val="00622AEC"/>
    <w:rsid w:val="006230FE"/>
    <w:rsid w:val="006232A5"/>
    <w:rsid w:val="00624E3B"/>
    <w:rsid w:val="0062525A"/>
    <w:rsid w:val="00626A05"/>
    <w:rsid w:val="00626ED7"/>
    <w:rsid w:val="00630F8D"/>
    <w:rsid w:val="00633A3F"/>
    <w:rsid w:val="00633BE9"/>
    <w:rsid w:val="00633E8A"/>
    <w:rsid w:val="00634862"/>
    <w:rsid w:val="00634D46"/>
    <w:rsid w:val="00634F89"/>
    <w:rsid w:val="00634FCC"/>
    <w:rsid w:val="006351C1"/>
    <w:rsid w:val="00635256"/>
    <w:rsid w:val="006352D9"/>
    <w:rsid w:val="00635A12"/>
    <w:rsid w:val="0063624A"/>
    <w:rsid w:val="00637643"/>
    <w:rsid w:val="006379E3"/>
    <w:rsid w:val="00640463"/>
    <w:rsid w:val="006415BB"/>
    <w:rsid w:val="00641A9D"/>
    <w:rsid w:val="0064352F"/>
    <w:rsid w:val="0064384D"/>
    <w:rsid w:val="00644B6C"/>
    <w:rsid w:val="0064637F"/>
    <w:rsid w:val="00646EA0"/>
    <w:rsid w:val="00647765"/>
    <w:rsid w:val="00650523"/>
    <w:rsid w:val="00651AEF"/>
    <w:rsid w:val="006522E2"/>
    <w:rsid w:val="0065346D"/>
    <w:rsid w:val="006535C2"/>
    <w:rsid w:val="00654040"/>
    <w:rsid w:val="006544A9"/>
    <w:rsid w:val="00654979"/>
    <w:rsid w:val="00655DE6"/>
    <w:rsid w:val="00657252"/>
    <w:rsid w:val="00657559"/>
    <w:rsid w:val="00657D57"/>
    <w:rsid w:val="006605A0"/>
    <w:rsid w:val="0066175B"/>
    <w:rsid w:val="0066258A"/>
    <w:rsid w:val="00662966"/>
    <w:rsid w:val="00663486"/>
    <w:rsid w:val="00663ECC"/>
    <w:rsid w:val="00664AAD"/>
    <w:rsid w:val="00664CC7"/>
    <w:rsid w:val="006651B5"/>
    <w:rsid w:val="00665492"/>
    <w:rsid w:val="006654EB"/>
    <w:rsid w:val="00665C3C"/>
    <w:rsid w:val="00666062"/>
    <w:rsid w:val="0066697E"/>
    <w:rsid w:val="00666BFC"/>
    <w:rsid w:val="006702D3"/>
    <w:rsid w:val="00670B5E"/>
    <w:rsid w:val="006716A4"/>
    <w:rsid w:val="006717D9"/>
    <w:rsid w:val="00674486"/>
    <w:rsid w:val="006745F1"/>
    <w:rsid w:val="0067573A"/>
    <w:rsid w:val="0067627E"/>
    <w:rsid w:val="0067632F"/>
    <w:rsid w:val="00676D35"/>
    <w:rsid w:val="00677285"/>
    <w:rsid w:val="00680A82"/>
    <w:rsid w:val="0068187D"/>
    <w:rsid w:val="00681891"/>
    <w:rsid w:val="0068328F"/>
    <w:rsid w:val="00683389"/>
    <w:rsid w:val="00683E30"/>
    <w:rsid w:val="00684837"/>
    <w:rsid w:val="00685740"/>
    <w:rsid w:val="00686EB0"/>
    <w:rsid w:val="00687890"/>
    <w:rsid w:val="006878D2"/>
    <w:rsid w:val="006879BD"/>
    <w:rsid w:val="0069064F"/>
    <w:rsid w:val="00691112"/>
    <w:rsid w:val="00691914"/>
    <w:rsid w:val="00691F1D"/>
    <w:rsid w:val="00692450"/>
    <w:rsid w:val="00692562"/>
    <w:rsid w:val="006936FD"/>
    <w:rsid w:val="00693DD0"/>
    <w:rsid w:val="00694D4A"/>
    <w:rsid w:val="006952FC"/>
    <w:rsid w:val="00695CE0"/>
    <w:rsid w:val="00695D5A"/>
    <w:rsid w:val="0069614F"/>
    <w:rsid w:val="00696DAB"/>
    <w:rsid w:val="00697330"/>
    <w:rsid w:val="006974D3"/>
    <w:rsid w:val="00697FF1"/>
    <w:rsid w:val="006A097F"/>
    <w:rsid w:val="006A0CEA"/>
    <w:rsid w:val="006A13D6"/>
    <w:rsid w:val="006A2438"/>
    <w:rsid w:val="006A2741"/>
    <w:rsid w:val="006A57AA"/>
    <w:rsid w:val="006A594D"/>
    <w:rsid w:val="006A5EF8"/>
    <w:rsid w:val="006A6D39"/>
    <w:rsid w:val="006A71A0"/>
    <w:rsid w:val="006A742C"/>
    <w:rsid w:val="006A7CCF"/>
    <w:rsid w:val="006A7D83"/>
    <w:rsid w:val="006B0975"/>
    <w:rsid w:val="006B1A16"/>
    <w:rsid w:val="006B2441"/>
    <w:rsid w:val="006B2D93"/>
    <w:rsid w:val="006B4586"/>
    <w:rsid w:val="006B527A"/>
    <w:rsid w:val="006B5FA5"/>
    <w:rsid w:val="006B6077"/>
    <w:rsid w:val="006B77A1"/>
    <w:rsid w:val="006B7A04"/>
    <w:rsid w:val="006B7FDC"/>
    <w:rsid w:val="006C0112"/>
    <w:rsid w:val="006C0914"/>
    <w:rsid w:val="006C09EF"/>
    <w:rsid w:val="006C0EAC"/>
    <w:rsid w:val="006C1409"/>
    <w:rsid w:val="006C32C1"/>
    <w:rsid w:val="006C3595"/>
    <w:rsid w:val="006C4B65"/>
    <w:rsid w:val="006C5B8F"/>
    <w:rsid w:val="006C5D80"/>
    <w:rsid w:val="006C64E5"/>
    <w:rsid w:val="006C736F"/>
    <w:rsid w:val="006C7487"/>
    <w:rsid w:val="006C7645"/>
    <w:rsid w:val="006C7E80"/>
    <w:rsid w:val="006C7ED9"/>
    <w:rsid w:val="006D0381"/>
    <w:rsid w:val="006D0B86"/>
    <w:rsid w:val="006D13AE"/>
    <w:rsid w:val="006D20F3"/>
    <w:rsid w:val="006D256A"/>
    <w:rsid w:val="006D56D8"/>
    <w:rsid w:val="006D76DF"/>
    <w:rsid w:val="006D789A"/>
    <w:rsid w:val="006D7BA8"/>
    <w:rsid w:val="006D7F20"/>
    <w:rsid w:val="006E12E5"/>
    <w:rsid w:val="006E1ABA"/>
    <w:rsid w:val="006E224C"/>
    <w:rsid w:val="006E2B80"/>
    <w:rsid w:val="006E306F"/>
    <w:rsid w:val="006E50F3"/>
    <w:rsid w:val="006E55A9"/>
    <w:rsid w:val="006E55D3"/>
    <w:rsid w:val="006E5BDB"/>
    <w:rsid w:val="006E5CF2"/>
    <w:rsid w:val="006E6D85"/>
    <w:rsid w:val="006E778F"/>
    <w:rsid w:val="006F08C9"/>
    <w:rsid w:val="006F15D3"/>
    <w:rsid w:val="006F283B"/>
    <w:rsid w:val="006F2D52"/>
    <w:rsid w:val="006F302F"/>
    <w:rsid w:val="006F30D3"/>
    <w:rsid w:val="006F31C3"/>
    <w:rsid w:val="006F44BE"/>
    <w:rsid w:val="006F456C"/>
    <w:rsid w:val="006F462B"/>
    <w:rsid w:val="006F48C9"/>
    <w:rsid w:val="006F4E43"/>
    <w:rsid w:val="006F4FC7"/>
    <w:rsid w:val="006F5AD2"/>
    <w:rsid w:val="006F723D"/>
    <w:rsid w:val="00700497"/>
    <w:rsid w:val="00701244"/>
    <w:rsid w:val="007014C2"/>
    <w:rsid w:val="00703117"/>
    <w:rsid w:val="00703D57"/>
    <w:rsid w:val="007048B3"/>
    <w:rsid w:val="00705407"/>
    <w:rsid w:val="00705431"/>
    <w:rsid w:val="0070560A"/>
    <w:rsid w:val="00705774"/>
    <w:rsid w:val="007060BB"/>
    <w:rsid w:val="007065BB"/>
    <w:rsid w:val="007067F4"/>
    <w:rsid w:val="00710BC3"/>
    <w:rsid w:val="00710CD9"/>
    <w:rsid w:val="007129AE"/>
    <w:rsid w:val="00712F58"/>
    <w:rsid w:val="00713B99"/>
    <w:rsid w:val="007142CC"/>
    <w:rsid w:val="00714C86"/>
    <w:rsid w:val="00714D71"/>
    <w:rsid w:val="007155E3"/>
    <w:rsid w:val="007163E3"/>
    <w:rsid w:val="007173BB"/>
    <w:rsid w:val="00720491"/>
    <w:rsid w:val="007205AD"/>
    <w:rsid w:val="007208D1"/>
    <w:rsid w:val="00720A6C"/>
    <w:rsid w:val="007211B3"/>
    <w:rsid w:val="00721656"/>
    <w:rsid w:val="00721E8F"/>
    <w:rsid w:val="0072307C"/>
    <w:rsid w:val="00723321"/>
    <w:rsid w:val="00723AEC"/>
    <w:rsid w:val="00723D0B"/>
    <w:rsid w:val="007264B4"/>
    <w:rsid w:val="007309F2"/>
    <w:rsid w:val="0073103E"/>
    <w:rsid w:val="00731062"/>
    <w:rsid w:val="007322B4"/>
    <w:rsid w:val="00732F85"/>
    <w:rsid w:val="00734FB9"/>
    <w:rsid w:val="0073602E"/>
    <w:rsid w:val="00736EDB"/>
    <w:rsid w:val="0073784C"/>
    <w:rsid w:val="00737CB7"/>
    <w:rsid w:val="00740AA3"/>
    <w:rsid w:val="00741772"/>
    <w:rsid w:val="00743273"/>
    <w:rsid w:val="007436CC"/>
    <w:rsid w:val="00743823"/>
    <w:rsid w:val="00743AB3"/>
    <w:rsid w:val="0074427C"/>
    <w:rsid w:val="007452A6"/>
    <w:rsid w:val="007457E1"/>
    <w:rsid w:val="00745979"/>
    <w:rsid w:val="00745C29"/>
    <w:rsid w:val="00746024"/>
    <w:rsid w:val="00746299"/>
    <w:rsid w:val="007473C8"/>
    <w:rsid w:val="00747A6E"/>
    <w:rsid w:val="00747D71"/>
    <w:rsid w:val="007505D5"/>
    <w:rsid w:val="00751062"/>
    <w:rsid w:val="007513AC"/>
    <w:rsid w:val="00751FC5"/>
    <w:rsid w:val="00752041"/>
    <w:rsid w:val="00752B0C"/>
    <w:rsid w:val="0075338E"/>
    <w:rsid w:val="00753791"/>
    <w:rsid w:val="0075412E"/>
    <w:rsid w:val="00754613"/>
    <w:rsid w:val="00755727"/>
    <w:rsid w:val="00755BB9"/>
    <w:rsid w:val="007561A5"/>
    <w:rsid w:val="007566AF"/>
    <w:rsid w:val="00756BC0"/>
    <w:rsid w:val="007573E1"/>
    <w:rsid w:val="0076019E"/>
    <w:rsid w:val="007603E5"/>
    <w:rsid w:val="00760892"/>
    <w:rsid w:val="00760EC8"/>
    <w:rsid w:val="007614C1"/>
    <w:rsid w:val="00761622"/>
    <w:rsid w:val="00761DD7"/>
    <w:rsid w:val="00763122"/>
    <w:rsid w:val="00764618"/>
    <w:rsid w:val="007647BC"/>
    <w:rsid w:val="00764832"/>
    <w:rsid w:val="007649B1"/>
    <w:rsid w:val="007663A1"/>
    <w:rsid w:val="007668CE"/>
    <w:rsid w:val="00767B73"/>
    <w:rsid w:val="007703E9"/>
    <w:rsid w:val="007703F6"/>
    <w:rsid w:val="00770BDB"/>
    <w:rsid w:val="00770D01"/>
    <w:rsid w:val="00771B0B"/>
    <w:rsid w:val="00772287"/>
    <w:rsid w:val="007729A1"/>
    <w:rsid w:val="00773510"/>
    <w:rsid w:val="0077376F"/>
    <w:rsid w:val="00773CB1"/>
    <w:rsid w:val="00774EFA"/>
    <w:rsid w:val="0077534D"/>
    <w:rsid w:val="0077541D"/>
    <w:rsid w:val="007754C9"/>
    <w:rsid w:val="0077556A"/>
    <w:rsid w:val="00775FCD"/>
    <w:rsid w:val="00776312"/>
    <w:rsid w:val="00776876"/>
    <w:rsid w:val="00776E31"/>
    <w:rsid w:val="00777BEF"/>
    <w:rsid w:val="00777CC7"/>
    <w:rsid w:val="00780893"/>
    <w:rsid w:val="00780948"/>
    <w:rsid w:val="00781224"/>
    <w:rsid w:val="00781933"/>
    <w:rsid w:val="007820AE"/>
    <w:rsid w:val="0078242A"/>
    <w:rsid w:val="0078259B"/>
    <w:rsid w:val="00782729"/>
    <w:rsid w:val="0078318F"/>
    <w:rsid w:val="00783534"/>
    <w:rsid w:val="0078427A"/>
    <w:rsid w:val="007864F3"/>
    <w:rsid w:val="00787F5F"/>
    <w:rsid w:val="00790254"/>
    <w:rsid w:val="00791083"/>
    <w:rsid w:val="00792344"/>
    <w:rsid w:val="00792FEA"/>
    <w:rsid w:val="00793990"/>
    <w:rsid w:val="00793ADF"/>
    <w:rsid w:val="00793F23"/>
    <w:rsid w:val="00794904"/>
    <w:rsid w:val="00796359"/>
    <w:rsid w:val="00796B43"/>
    <w:rsid w:val="007970AA"/>
    <w:rsid w:val="007971BD"/>
    <w:rsid w:val="007A0754"/>
    <w:rsid w:val="007A0F0A"/>
    <w:rsid w:val="007A3486"/>
    <w:rsid w:val="007A43F0"/>
    <w:rsid w:val="007A516F"/>
    <w:rsid w:val="007A6317"/>
    <w:rsid w:val="007A688D"/>
    <w:rsid w:val="007A6999"/>
    <w:rsid w:val="007A7535"/>
    <w:rsid w:val="007A7BB2"/>
    <w:rsid w:val="007B176F"/>
    <w:rsid w:val="007B1DCB"/>
    <w:rsid w:val="007B2AA0"/>
    <w:rsid w:val="007B4F96"/>
    <w:rsid w:val="007B68DB"/>
    <w:rsid w:val="007B6B6E"/>
    <w:rsid w:val="007B6B85"/>
    <w:rsid w:val="007B6D2D"/>
    <w:rsid w:val="007B7098"/>
    <w:rsid w:val="007B77C7"/>
    <w:rsid w:val="007C0014"/>
    <w:rsid w:val="007C0A04"/>
    <w:rsid w:val="007C0E38"/>
    <w:rsid w:val="007C1B71"/>
    <w:rsid w:val="007C1F5F"/>
    <w:rsid w:val="007C26FD"/>
    <w:rsid w:val="007C2FD5"/>
    <w:rsid w:val="007C4EC7"/>
    <w:rsid w:val="007C4F2A"/>
    <w:rsid w:val="007C50E0"/>
    <w:rsid w:val="007C7748"/>
    <w:rsid w:val="007D0710"/>
    <w:rsid w:val="007D2BC0"/>
    <w:rsid w:val="007D3CDA"/>
    <w:rsid w:val="007D3FF1"/>
    <w:rsid w:val="007D41A3"/>
    <w:rsid w:val="007D55FD"/>
    <w:rsid w:val="007D571C"/>
    <w:rsid w:val="007D5844"/>
    <w:rsid w:val="007D61C4"/>
    <w:rsid w:val="007D7A66"/>
    <w:rsid w:val="007D7CDC"/>
    <w:rsid w:val="007E216F"/>
    <w:rsid w:val="007E2914"/>
    <w:rsid w:val="007E327A"/>
    <w:rsid w:val="007E365D"/>
    <w:rsid w:val="007E4042"/>
    <w:rsid w:val="007E4B8B"/>
    <w:rsid w:val="007E4FE9"/>
    <w:rsid w:val="007E564E"/>
    <w:rsid w:val="007E57ED"/>
    <w:rsid w:val="007E5C69"/>
    <w:rsid w:val="007E60C5"/>
    <w:rsid w:val="007E74F4"/>
    <w:rsid w:val="007E79C0"/>
    <w:rsid w:val="007F0768"/>
    <w:rsid w:val="007F0928"/>
    <w:rsid w:val="007F0E6B"/>
    <w:rsid w:val="007F1811"/>
    <w:rsid w:val="007F1CE0"/>
    <w:rsid w:val="007F1F55"/>
    <w:rsid w:val="007F2114"/>
    <w:rsid w:val="007F2EB8"/>
    <w:rsid w:val="007F2F14"/>
    <w:rsid w:val="007F3402"/>
    <w:rsid w:val="007F4CDB"/>
    <w:rsid w:val="007F52CC"/>
    <w:rsid w:val="007F5F8A"/>
    <w:rsid w:val="007F6012"/>
    <w:rsid w:val="007F73E9"/>
    <w:rsid w:val="007F74F2"/>
    <w:rsid w:val="00801CE5"/>
    <w:rsid w:val="0080271F"/>
    <w:rsid w:val="0080284E"/>
    <w:rsid w:val="008029A3"/>
    <w:rsid w:val="008043B4"/>
    <w:rsid w:val="00805EFE"/>
    <w:rsid w:val="0080652B"/>
    <w:rsid w:val="008066C0"/>
    <w:rsid w:val="00806A2D"/>
    <w:rsid w:val="00806ECA"/>
    <w:rsid w:val="008070D1"/>
    <w:rsid w:val="00810469"/>
    <w:rsid w:val="00810AF6"/>
    <w:rsid w:val="00810F6C"/>
    <w:rsid w:val="008114C1"/>
    <w:rsid w:val="00811A59"/>
    <w:rsid w:val="00811C9B"/>
    <w:rsid w:val="00811F7F"/>
    <w:rsid w:val="0081200E"/>
    <w:rsid w:val="00812DE5"/>
    <w:rsid w:val="00815E0C"/>
    <w:rsid w:val="008163F2"/>
    <w:rsid w:val="0081649C"/>
    <w:rsid w:val="008208E2"/>
    <w:rsid w:val="00821581"/>
    <w:rsid w:val="008215D7"/>
    <w:rsid w:val="008227BA"/>
    <w:rsid w:val="008241FA"/>
    <w:rsid w:val="008244B3"/>
    <w:rsid w:val="00824A2B"/>
    <w:rsid w:val="0082589E"/>
    <w:rsid w:val="00826414"/>
    <w:rsid w:val="00826476"/>
    <w:rsid w:val="00826DB6"/>
    <w:rsid w:val="00830C57"/>
    <w:rsid w:val="00830DC4"/>
    <w:rsid w:val="00830FAC"/>
    <w:rsid w:val="00831197"/>
    <w:rsid w:val="0083138C"/>
    <w:rsid w:val="00831404"/>
    <w:rsid w:val="008322AF"/>
    <w:rsid w:val="00832429"/>
    <w:rsid w:val="0083254F"/>
    <w:rsid w:val="00833959"/>
    <w:rsid w:val="00833EB5"/>
    <w:rsid w:val="0083429F"/>
    <w:rsid w:val="008347EF"/>
    <w:rsid w:val="00835EFC"/>
    <w:rsid w:val="00836518"/>
    <w:rsid w:val="00836FD0"/>
    <w:rsid w:val="00840752"/>
    <w:rsid w:val="00840C36"/>
    <w:rsid w:val="0084158E"/>
    <w:rsid w:val="00841F74"/>
    <w:rsid w:val="008429A2"/>
    <w:rsid w:val="00843497"/>
    <w:rsid w:val="00843691"/>
    <w:rsid w:val="00843939"/>
    <w:rsid w:val="008449C4"/>
    <w:rsid w:val="00844E21"/>
    <w:rsid w:val="008453D4"/>
    <w:rsid w:val="008466BF"/>
    <w:rsid w:val="0084703E"/>
    <w:rsid w:val="00847300"/>
    <w:rsid w:val="00847884"/>
    <w:rsid w:val="0085064C"/>
    <w:rsid w:val="00850A35"/>
    <w:rsid w:val="008511E0"/>
    <w:rsid w:val="008513DB"/>
    <w:rsid w:val="008516B0"/>
    <w:rsid w:val="00851E94"/>
    <w:rsid w:val="00852CA1"/>
    <w:rsid w:val="00852D81"/>
    <w:rsid w:val="00853154"/>
    <w:rsid w:val="008539DD"/>
    <w:rsid w:val="0085484A"/>
    <w:rsid w:val="00854C05"/>
    <w:rsid w:val="008551DC"/>
    <w:rsid w:val="008563A1"/>
    <w:rsid w:val="00856BE3"/>
    <w:rsid w:val="00857069"/>
    <w:rsid w:val="0085790E"/>
    <w:rsid w:val="00857CC7"/>
    <w:rsid w:val="008605AD"/>
    <w:rsid w:val="008609EC"/>
    <w:rsid w:val="00861283"/>
    <w:rsid w:val="00861C60"/>
    <w:rsid w:val="0086323B"/>
    <w:rsid w:val="00864C54"/>
    <w:rsid w:val="0086551F"/>
    <w:rsid w:val="00865DDE"/>
    <w:rsid w:val="00865E1A"/>
    <w:rsid w:val="00867450"/>
    <w:rsid w:val="00871073"/>
    <w:rsid w:val="00871F1A"/>
    <w:rsid w:val="008720D7"/>
    <w:rsid w:val="008745E3"/>
    <w:rsid w:val="00875B74"/>
    <w:rsid w:val="00875C7F"/>
    <w:rsid w:val="00876A6F"/>
    <w:rsid w:val="008779FE"/>
    <w:rsid w:val="00877A13"/>
    <w:rsid w:val="00877BD0"/>
    <w:rsid w:val="00880A13"/>
    <w:rsid w:val="00880C69"/>
    <w:rsid w:val="00882A35"/>
    <w:rsid w:val="00883CCD"/>
    <w:rsid w:val="008847C9"/>
    <w:rsid w:val="008849D6"/>
    <w:rsid w:val="00884FE1"/>
    <w:rsid w:val="0088720A"/>
    <w:rsid w:val="00887772"/>
    <w:rsid w:val="008877BE"/>
    <w:rsid w:val="00890526"/>
    <w:rsid w:val="0089075A"/>
    <w:rsid w:val="00891318"/>
    <w:rsid w:val="0089137B"/>
    <w:rsid w:val="00891556"/>
    <w:rsid w:val="00892070"/>
    <w:rsid w:val="00892383"/>
    <w:rsid w:val="008924BD"/>
    <w:rsid w:val="0089298F"/>
    <w:rsid w:val="00892C99"/>
    <w:rsid w:val="00893E03"/>
    <w:rsid w:val="00894272"/>
    <w:rsid w:val="008946D6"/>
    <w:rsid w:val="00894852"/>
    <w:rsid w:val="00895309"/>
    <w:rsid w:val="00895436"/>
    <w:rsid w:val="0089558F"/>
    <w:rsid w:val="00895739"/>
    <w:rsid w:val="00895FBA"/>
    <w:rsid w:val="00896024"/>
    <w:rsid w:val="008960FA"/>
    <w:rsid w:val="008975B9"/>
    <w:rsid w:val="00897793"/>
    <w:rsid w:val="008A00D5"/>
    <w:rsid w:val="008A00F4"/>
    <w:rsid w:val="008A0157"/>
    <w:rsid w:val="008A18CA"/>
    <w:rsid w:val="008A1959"/>
    <w:rsid w:val="008A1C3F"/>
    <w:rsid w:val="008A3CF2"/>
    <w:rsid w:val="008A4029"/>
    <w:rsid w:val="008A51EC"/>
    <w:rsid w:val="008A5798"/>
    <w:rsid w:val="008A6174"/>
    <w:rsid w:val="008A6BFF"/>
    <w:rsid w:val="008A6E3C"/>
    <w:rsid w:val="008A76E8"/>
    <w:rsid w:val="008B0647"/>
    <w:rsid w:val="008B064B"/>
    <w:rsid w:val="008B0717"/>
    <w:rsid w:val="008B2C76"/>
    <w:rsid w:val="008B3600"/>
    <w:rsid w:val="008B3AB3"/>
    <w:rsid w:val="008B4169"/>
    <w:rsid w:val="008B4997"/>
    <w:rsid w:val="008B4E5D"/>
    <w:rsid w:val="008B4F61"/>
    <w:rsid w:val="008B5B4B"/>
    <w:rsid w:val="008B69F7"/>
    <w:rsid w:val="008B7935"/>
    <w:rsid w:val="008C066F"/>
    <w:rsid w:val="008C09CA"/>
    <w:rsid w:val="008C135C"/>
    <w:rsid w:val="008C16F6"/>
    <w:rsid w:val="008C2EFA"/>
    <w:rsid w:val="008C2F09"/>
    <w:rsid w:val="008C3185"/>
    <w:rsid w:val="008C3379"/>
    <w:rsid w:val="008C33B5"/>
    <w:rsid w:val="008C395D"/>
    <w:rsid w:val="008C4014"/>
    <w:rsid w:val="008C52A8"/>
    <w:rsid w:val="008C5B1C"/>
    <w:rsid w:val="008C7955"/>
    <w:rsid w:val="008D031E"/>
    <w:rsid w:val="008D0F19"/>
    <w:rsid w:val="008D2406"/>
    <w:rsid w:val="008D27CE"/>
    <w:rsid w:val="008D2F0C"/>
    <w:rsid w:val="008D2FC3"/>
    <w:rsid w:val="008D3510"/>
    <w:rsid w:val="008D3922"/>
    <w:rsid w:val="008D506C"/>
    <w:rsid w:val="008D5964"/>
    <w:rsid w:val="008D5B6B"/>
    <w:rsid w:val="008D683F"/>
    <w:rsid w:val="008D755A"/>
    <w:rsid w:val="008D764E"/>
    <w:rsid w:val="008E05B8"/>
    <w:rsid w:val="008E2E41"/>
    <w:rsid w:val="008E3086"/>
    <w:rsid w:val="008E35B5"/>
    <w:rsid w:val="008E3C39"/>
    <w:rsid w:val="008E6392"/>
    <w:rsid w:val="008E7992"/>
    <w:rsid w:val="008F00D8"/>
    <w:rsid w:val="008F03CA"/>
    <w:rsid w:val="008F0709"/>
    <w:rsid w:val="008F2AD4"/>
    <w:rsid w:val="008F2C67"/>
    <w:rsid w:val="008F307A"/>
    <w:rsid w:val="008F3A0F"/>
    <w:rsid w:val="008F3ED9"/>
    <w:rsid w:val="008F40EB"/>
    <w:rsid w:val="008F4106"/>
    <w:rsid w:val="008F4D65"/>
    <w:rsid w:val="008F5429"/>
    <w:rsid w:val="008F59A5"/>
    <w:rsid w:val="008F61EB"/>
    <w:rsid w:val="008F68F9"/>
    <w:rsid w:val="008F6B7C"/>
    <w:rsid w:val="008F6F83"/>
    <w:rsid w:val="008F7A0E"/>
    <w:rsid w:val="00900083"/>
    <w:rsid w:val="00900679"/>
    <w:rsid w:val="00900C74"/>
    <w:rsid w:val="00901037"/>
    <w:rsid w:val="00901312"/>
    <w:rsid w:val="009013C2"/>
    <w:rsid w:val="00901562"/>
    <w:rsid w:val="00902276"/>
    <w:rsid w:val="00902EF6"/>
    <w:rsid w:val="00903EA7"/>
    <w:rsid w:val="0090463E"/>
    <w:rsid w:val="00904A66"/>
    <w:rsid w:val="00904EB0"/>
    <w:rsid w:val="00905175"/>
    <w:rsid w:val="00905F43"/>
    <w:rsid w:val="00906B73"/>
    <w:rsid w:val="00907793"/>
    <w:rsid w:val="00907D46"/>
    <w:rsid w:val="009104D9"/>
    <w:rsid w:val="00910916"/>
    <w:rsid w:val="009115BD"/>
    <w:rsid w:val="00911675"/>
    <w:rsid w:val="0091191A"/>
    <w:rsid w:val="00912323"/>
    <w:rsid w:val="0091238F"/>
    <w:rsid w:val="009123D5"/>
    <w:rsid w:val="009134F8"/>
    <w:rsid w:val="00913684"/>
    <w:rsid w:val="009138D6"/>
    <w:rsid w:val="00913DCD"/>
    <w:rsid w:val="00914A5C"/>
    <w:rsid w:val="00920C66"/>
    <w:rsid w:val="00920FCD"/>
    <w:rsid w:val="00921410"/>
    <w:rsid w:val="00921A39"/>
    <w:rsid w:val="00923EC6"/>
    <w:rsid w:val="009248EE"/>
    <w:rsid w:val="00924C35"/>
    <w:rsid w:val="00924C55"/>
    <w:rsid w:val="00926039"/>
    <w:rsid w:val="00927331"/>
    <w:rsid w:val="009277DD"/>
    <w:rsid w:val="00927868"/>
    <w:rsid w:val="00933F0C"/>
    <w:rsid w:val="00934DBC"/>
    <w:rsid w:val="00934F82"/>
    <w:rsid w:val="009360CD"/>
    <w:rsid w:val="00936318"/>
    <w:rsid w:val="00936C99"/>
    <w:rsid w:val="00937109"/>
    <w:rsid w:val="00937222"/>
    <w:rsid w:val="009402F6"/>
    <w:rsid w:val="009418D1"/>
    <w:rsid w:val="009439DF"/>
    <w:rsid w:val="00944C26"/>
    <w:rsid w:val="0094521F"/>
    <w:rsid w:val="0094622B"/>
    <w:rsid w:val="00946CB8"/>
    <w:rsid w:val="00947C5F"/>
    <w:rsid w:val="0095007D"/>
    <w:rsid w:val="00950A1A"/>
    <w:rsid w:val="00950C11"/>
    <w:rsid w:val="00951085"/>
    <w:rsid w:val="00951847"/>
    <w:rsid w:val="00951BCC"/>
    <w:rsid w:val="00951D68"/>
    <w:rsid w:val="00952232"/>
    <w:rsid w:val="00954730"/>
    <w:rsid w:val="00954EAC"/>
    <w:rsid w:val="00955F05"/>
    <w:rsid w:val="009561DB"/>
    <w:rsid w:val="0095698A"/>
    <w:rsid w:val="009570A7"/>
    <w:rsid w:val="00957A6E"/>
    <w:rsid w:val="00960098"/>
    <w:rsid w:val="00960EF7"/>
    <w:rsid w:val="00961241"/>
    <w:rsid w:val="009617E6"/>
    <w:rsid w:val="00961972"/>
    <w:rsid w:val="009624E3"/>
    <w:rsid w:val="00962F7F"/>
    <w:rsid w:val="009632E0"/>
    <w:rsid w:val="00965D0E"/>
    <w:rsid w:val="009663F8"/>
    <w:rsid w:val="00966E01"/>
    <w:rsid w:val="00967162"/>
    <w:rsid w:val="009676D5"/>
    <w:rsid w:val="00967D9D"/>
    <w:rsid w:val="0097097D"/>
    <w:rsid w:val="009709A5"/>
    <w:rsid w:val="0097120F"/>
    <w:rsid w:val="00972B7B"/>
    <w:rsid w:val="00972C40"/>
    <w:rsid w:val="00972EB3"/>
    <w:rsid w:val="00973961"/>
    <w:rsid w:val="00973CBC"/>
    <w:rsid w:val="00974E32"/>
    <w:rsid w:val="009758EB"/>
    <w:rsid w:val="0097620D"/>
    <w:rsid w:val="00976DD4"/>
    <w:rsid w:val="00981F9B"/>
    <w:rsid w:val="0098299C"/>
    <w:rsid w:val="00983506"/>
    <w:rsid w:val="00983D36"/>
    <w:rsid w:val="009840FD"/>
    <w:rsid w:val="009847F5"/>
    <w:rsid w:val="00984B68"/>
    <w:rsid w:val="00985726"/>
    <w:rsid w:val="00985994"/>
    <w:rsid w:val="0098738D"/>
    <w:rsid w:val="00987665"/>
    <w:rsid w:val="00990BC1"/>
    <w:rsid w:val="00992521"/>
    <w:rsid w:val="00992C4C"/>
    <w:rsid w:val="00993727"/>
    <w:rsid w:val="00993F84"/>
    <w:rsid w:val="00994153"/>
    <w:rsid w:val="0099452E"/>
    <w:rsid w:val="009947C1"/>
    <w:rsid w:val="00994B28"/>
    <w:rsid w:val="00995E62"/>
    <w:rsid w:val="00995FFE"/>
    <w:rsid w:val="00996066"/>
    <w:rsid w:val="0099631E"/>
    <w:rsid w:val="00996667"/>
    <w:rsid w:val="009966F4"/>
    <w:rsid w:val="009977FF"/>
    <w:rsid w:val="00997DFF"/>
    <w:rsid w:val="009A0185"/>
    <w:rsid w:val="009A0B2E"/>
    <w:rsid w:val="009A1184"/>
    <w:rsid w:val="009A170C"/>
    <w:rsid w:val="009A1A22"/>
    <w:rsid w:val="009A1E5F"/>
    <w:rsid w:val="009A1F0D"/>
    <w:rsid w:val="009A36CA"/>
    <w:rsid w:val="009A4915"/>
    <w:rsid w:val="009A4D3A"/>
    <w:rsid w:val="009A53D7"/>
    <w:rsid w:val="009A5DF2"/>
    <w:rsid w:val="009A5F56"/>
    <w:rsid w:val="009A6934"/>
    <w:rsid w:val="009A6D48"/>
    <w:rsid w:val="009A71A9"/>
    <w:rsid w:val="009A754D"/>
    <w:rsid w:val="009A766E"/>
    <w:rsid w:val="009B0EA0"/>
    <w:rsid w:val="009B13F2"/>
    <w:rsid w:val="009B2301"/>
    <w:rsid w:val="009B2D88"/>
    <w:rsid w:val="009B42A8"/>
    <w:rsid w:val="009B4A1D"/>
    <w:rsid w:val="009B5AFA"/>
    <w:rsid w:val="009B6DA6"/>
    <w:rsid w:val="009B710C"/>
    <w:rsid w:val="009B75E9"/>
    <w:rsid w:val="009C03AE"/>
    <w:rsid w:val="009C1036"/>
    <w:rsid w:val="009C1951"/>
    <w:rsid w:val="009C3703"/>
    <w:rsid w:val="009C3C65"/>
    <w:rsid w:val="009C4527"/>
    <w:rsid w:val="009C49AE"/>
    <w:rsid w:val="009C5292"/>
    <w:rsid w:val="009C5340"/>
    <w:rsid w:val="009C53D0"/>
    <w:rsid w:val="009C5D48"/>
    <w:rsid w:val="009C5DA2"/>
    <w:rsid w:val="009C5E62"/>
    <w:rsid w:val="009C7838"/>
    <w:rsid w:val="009C796F"/>
    <w:rsid w:val="009C7A22"/>
    <w:rsid w:val="009D0110"/>
    <w:rsid w:val="009D2C93"/>
    <w:rsid w:val="009D382B"/>
    <w:rsid w:val="009D3C39"/>
    <w:rsid w:val="009D3E6E"/>
    <w:rsid w:val="009D423A"/>
    <w:rsid w:val="009D63BE"/>
    <w:rsid w:val="009E13A8"/>
    <w:rsid w:val="009E207E"/>
    <w:rsid w:val="009E2969"/>
    <w:rsid w:val="009E52CD"/>
    <w:rsid w:val="009E633C"/>
    <w:rsid w:val="009E7387"/>
    <w:rsid w:val="009E75E8"/>
    <w:rsid w:val="009F0467"/>
    <w:rsid w:val="009F0AA2"/>
    <w:rsid w:val="009F10CD"/>
    <w:rsid w:val="009F135E"/>
    <w:rsid w:val="009F1BF0"/>
    <w:rsid w:val="009F2431"/>
    <w:rsid w:val="009F2875"/>
    <w:rsid w:val="009F37BC"/>
    <w:rsid w:val="009F3D98"/>
    <w:rsid w:val="009F5D76"/>
    <w:rsid w:val="009F5DDE"/>
    <w:rsid w:val="009F5F44"/>
    <w:rsid w:val="009F6F54"/>
    <w:rsid w:val="00A00781"/>
    <w:rsid w:val="00A01078"/>
    <w:rsid w:val="00A014FD"/>
    <w:rsid w:val="00A01A77"/>
    <w:rsid w:val="00A01D12"/>
    <w:rsid w:val="00A024F0"/>
    <w:rsid w:val="00A03251"/>
    <w:rsid w:val="00A03829"/>
    <w:rsid w:val="00A04523"/>
    <w:rsid w:val="00A04E42"/>
    <w:rsid w:val="00A05119"/>
    <w:rsid w:val="00A05382"/>
    <w:rsid w:val="00A0604A"/>
    <w:rsid w:val="00A070F8"/>
    <w:rsid w:val="00A102C7"/>
    <w:rsid w:val="00A10628"/>
    <w:rsid w:val="00A109BB"/>
    <w:rsid w:val="00A12477"/>
    <w:rsid w:val="00A1267A"/>
    <w:rsid w:val="00A12721"/>
    <w:rsid w:val="00A12FC7"/>
    <w:rsid w:val="00A1492B"/>
    <w:rsid w:val="00A155CC"/>
    <w:rsid w:val="00A157EE"/>
    <w:rsid w:val="00A16D6A"/>
    <w:rsid w:val="00A17997"/>
    <w:rsid w:val="00A17F05"/>
    <w:rsid w:val="00A2094A"/>
    <w:rsid w:val="00A20D80"/>
    <w:rsid w:val="00A2185F"/>
    <w:rsid w:val="00A21E92"/>
    <w:rsid w:val="00A229CD"/>
    <w:rsid w:val="00A25617"/>
    <w:rsid w:val="00A260BE"/>
    <w:rsid w:val="00A26D50"/>
    <w:rsid w:val="00A27D5F"/>
    <w:rsid w:val="00A27F32"/>
    <w:rsid w:val="00A306F6"/>
    <w:rsid w:val="00A30A71"/>
    <w:rsid w:val="00A30C5B"/>
    <w:rsid w:val="00A319CA"/>
    <w:rsid w:val="00A321B5"/>
    <w:rsid w:val="00A3262E"/>
    <w:rsid w:val="00A329D8"/>
    <w:rsid w:val="00A32A73"/>
    <w:rsid w:val="00A34391"/>
    <w:rsid w:val="00A34416"/>
    <w:rsid w:val="00A34495"/>
    <w:rsid w:val="00A344B7"/>
    <w:rsid w:val="00A34928"/>
    <w:rsid w:val="00A37FEC"/>
    <w:rsid w:val="00A406CA"/>
    <w:rsid w:val="00A40954"/>
    <w:rsid w:val="00A412DC"/>
    <w:rsid w:val="00A41D42"/>
    <w:rsid w:val="00A4272E"/>
    <w:rsid w:val="00A42E33"/>
    <w:rsid w:val="00A432AF"/>
    <w:rsid w:val="00A4504E"/>
    <w:rsid w:val="00A45191"/>
    <w:rsid w:val="00A4663D"/>
    <w:rsid w:val="00A466A4"/>
    <w:rsid w:val="00A466DC"/>
    <w:rsid w:val="00A4685F"/>
    <w:rsid w:val="00A47035"/>
    <w:rsid w:val="00A47839"/>
    <w:rsid w:val="00A47C8A"/>
    <w:rsid w:val="00A47D31"/>
    <w:rsid w:val="00A50641"/>
    <w:rsid w:val="00A507E8"/>
    <w:rsid w:val="00A509E8"/>
    <w:rsid w:val="00A51262"/>
    <w:rsid w:val="00A51376"/>
    <w:rsid w:val="00A514C0"/>
    <w:rsid w:val="00A51ECF"/>
    <w:rsid w:val="00A51EF2"/>
    <w:rsid w:val="00A524AE"/>
    <w:rsid w:val="00A53739"/>
    <w:rsid w:val="00A5499C"/>
    <w:rsid w:val="00A551D0"/>
    <w:rsid w:val="00A5567E"/>
    <w:rsid w:val="00A56647"/>
    <w:rsid w:val="00A56FE5"/>
    <w:rsid w:val="00A6019D"/>
    <w:rsid w:val="00A61494"/>
    <w:rsid w:val="00A614F2"/>
    <w:rsid w:val="00A615E7"/>
    <w:rsid w:val="00A61E5A"/>
    <w:rsid w:val="00A62E26"/>
    <w:rsid w:val="00A6441F"/>
    <w:rsid w:val="00A64BC3"/>
    <w:rsid w:val="00A65346"/>
    <w:rsid w:val="00A6566F"/>
    <w:rsid w:val="00A661B0"/>
    <w:rsid w:val="00A72F18"/>
    <w:rsid w:val="00A73C90"/>
    <w:rsid w:val="00A75010"/>
    <w:rsid w:val="00A75B91"/>
    <w:rsid w:val="00A76408"/>
    <w:rsid w:val="00A76C02"/>
    <w:rsid w:val="00A76E1F"/>
    <w:rsid w:val="00A76EDC"/>
    <w:rsid w:val="00A76F45"/>
    <w:rsid w:val="00A77BAA"/>
    <w:rsid w:val="00A80ACC"/>
    <w:rsid w:val="00A81649"/>
    <w:rsid w:val="00A824C3"/>
    <w:rsid w:val="00A826CD"/>
    <w:rsid w:val="00A82928"/>
    <w:rsid w:val="00A83E65"/>
    <w:rsid w:val="00A84114"/>
    <w:rsid w:val="00A857E7"/>
    <w:rsid w:val="00A85C8F"/>
    <w:rsid w:val="00A9066D"/>
    <w:rsid w:val="00A90926"/>
    <w:rsid w:val="00A91283"/>
    <w:rsid w:val="00A925BF"/>
    <w:rsid w:val="00A93584"/>
    <w:rsid w:val="00A93776"/>
    <w:rsid w:val="00A93AFA"/>
    <w:rsid w:val="00A9435B"/>
    <w:rsid w:val="00A947D4"/>
    <w:rsid w:val="00A94A85"/>
    <w:rsid w:val="00A963FD"/>
    <w:rsid w:val="00A96746"/>
    <w:rsid w:val="00A96D99"/>
    <w:rsid w:val="00A977F5"/>
    <w:rsid w:val="00A97828"/>
    <w:rsid w:val="00A9799E"/>
    <w:rsid w:val="00A97D11"/>
    <w:rsid w:val="00AA0162"/>
    <w:rsid w:val="00AA0CFA"/>
    <w:rsid w:val="00AA1C50"/>
    <w:rsid w:val="00AA3968"/>
    <w:rsid w:val="00AA45D2"/>
    <w:rsid w:val="00AA4BAF"/>
    <w:rsid w:val="00AA7B31"/>
    <w:rsid w:val="00AA7BC6"/>
    <w:rsid w:val="00AB1594"/>
    <w:rsid w:val="00AB24A1"/>
    <w:rsid w:val="00AB2B56"/>
    <w:rsid w:val="00AB39EE"/>
    <w:rsid w:val="00AB7519"/>
    <w:rsid w:val="00AB7660"/>
    <w:rsid w:val="00AB7B69"/>
    <w:rsid w:val="00AC0808"/>
    <w:rsid w:val="00AC0CAE"/>
    <w:rsid w:val="00AC10B7"/>
    <w:rsid w:val="00AC1218"/>
    <w:rsid w:val="00AC17AD"/>
    <w:rsid w:val="00AC1BE4"/>
    <w:rsid w:val="00AC2F81"/>
    <w:rsid w:val="00AC4683"/>
    <w:rsid w:val="00AC489A"/>
    <w:rsid w:val="00AC492D"/>
    <w:rsid w:val="00AC51C9"/>
    <w:rsid w:val="00AC5A48"/>
    <w:rsid w:val="00AC5A66"/>
    <w:rsid w:val="00AC5C82"/>
    <w:rsid w:val="00AC7169"/>
    <w:rsid w:val="00AD0685"/>
    <w:rsid w:val="00AD08A7"/>
    <w:rsid w:val="00AD0F3E"/>
    <w:rsid w:val="00AD2444"/>
    <w:rsid w:val="00AD3E7A"/>
    <w:rsid w:val="00AD5E53"/>
    <w:rsid w:val="00AD6202"/>
    <w:rsid w:val="00AD6504"/>
    <w:rsid w:val="00AD6D05"/>
    <w:rsid w:val="00AD6F65"/>
    <w:rsid w:val="00AD7C68"/>
    <w:rsid w:val="00AD7E69"/>
    <w:rsid w:val="00AE01C9"/>
    <w:rsid w:val="00AE1CC3"/>
    <w:rsid w:val="00AE2094"/>
    <w:rsid w:val="00AE3703"/>
    <w:rsid w:val="00AE6F39"/>
    <w:rsid w:val="00AE7169"/>
    <w:rsid w:val="00AE7F02"/>
    <w:rsid w:val="00AF27D9"/>
    <w:rsid w:val="00AF2C6B"/>
    <w:rsid w:val="00AF35F1"/>
    <w:rsid w:val="00AF36BD"/>
    <w:rsid w:val="00AF3DD1"/>
    <w:rsid w:val="00AF412A"/>
    <w:rsid w:val="00AF443D"/>
    <w:rsid w:val="00AF5044"/>
    <w:rsid w:val="00AF59F5"/>
    <w:rsid w:val="00AF5F6F"/>
    <w:rsid w:val="00AF72B7"/>
    <w:rsid w:val="00AF76EF"/>
    <w:rsid w:val="00B00885"/>
    <w:rsid w:val="00B00A5F"/>
    <w:rsid w:val="00B03223"/>
    <w:rsid w:val="00B05EA6"/>
    <w:rsid w:val="00B06A86"/>
    <w:rsid w:val="00B106AC"/>
    <w:rsid w:val="00B10E74"/>
    <w:rsid w:val="00B11D63"/>
    <w:rsid w:val="00B11D7E"/>
    <w:rsid w:val="00B124D0"/>
    <w:rsid w:val="00B12689"/>
    <w:rsid w:val="00B12817"/>
    <w:rsid w:val="00B12EA2"/>
    <w:rsid w:val="00B13D29"/>
    <w:rsid w:val="00B14388"/>
    <w:rsid w:val="00B14A29"/>
    <w:rsid w:val="00B17258"/>
    <w:rsid w:val="00B173FB"/>
    <w:rsid w:val="00B176EA"/>
    <w:rsid w:val="00B20535"/>
    <w:rsid w:val="00B219D9"/>
    <w:rsid w:val="00B2206B"/>
    <w:rsid w:val="00B2232A"/>
    <w:rsid w:val="00B230C5"/>
    <w:rsid w:val="00B24445"/>
    <w:rsid w:val="00B25440"/>
    <w:rsid w:val="00B2591A"/>
    <w:rsid w:val="00B25F43"/>
    <w:rsid w:val="00B26363"/>
    <w:rsid w:val="00B26548"/>
    <w:rsid w:val="00B30AF8"/>
    <w:rsid w:val="00B31074"/>
    <w:rsid w:val="00B31422"/>
    <w:rsid w:val="00B3142C"/>
    <w:rsid w:val="00B32218"/>
    <w:rsid w:val="00B327C7"/>
    <w:rsid w:val="00B3283D"/>
    <w:rsid w:val="00B32C23"/>
    <w:rsid w:val="00B331FF"/>
    <w:rsid w:val="00B33396"/>
    <w:rsid w:val="00B337CC"/>
    <w:rsid w:val="00B33AB7"/>
    <w:rsid w:val="00B34839"/>
    <w:rsid w:val="00B354A4"/>
    <w:rsid w:val="00B3554D"/>
    <w:rsid w:val="00B361E4"/>
    <w:rsid w:val="00B369FF"/>
    <w:rsid w:val="00B36C0B"/>
    <w:rsid w:val="00B40637"/>
    <w:rsid w:val="00B41209"/>
    <w:rsid w:val="00B41509"/>
    <w:rsid w:val="00B418D2"/>
    <w:rsid w:val="00B41D4E"/>
    <w:rsid w:val="00B42363"/>
    <w:rsid w:val="00B423F4"/>
    <w:rsid w:val="00B4266B"/>
    <w:rsid w:val="00B43B35"/>
    <w:rsid w:val="00B44F5D"/>
    <w:rsid w:val="00B452B1"/>
    <w:rsid w:val="00B4668E"/>
    <w:rsid w:val="00B47381"/>
    <w:rsid w:val="00B47B84"/>
    <w:rsid w:val="00B47E2D"/>
    <w:rsid w:val="00B5053D"/>
    <w:rsid w:val="00B51587"/>
    <w:rsid w:val="00B5182A"/>
    <w:rsid w:val="00B51FD0"/>
    <w:rsid w:val="00B52003"/>
    <w:rsid w:val="00B5286F"/>
    <w:rsid w:val="00B54913"/>
    <w:rsid w:val="00B55095"/>
    <w:rsid w:val="00B56165"/>
    <w:rsid w:val="00B600B1"/>
    <w:rsid w:val="00B6091E"/>
    <w:rsid w:val="00B617D7"/>
    <w:rsid w:val="00B61B3C"/>
    <w:rsid w:val="00B64379"/>
    <w:rsid w:val="00B643B5"/>
    <w:rsid w:val="00B64868"/>
    <w:rsid w:val="00B64925"/>
    <w:rsid w:val="00B64AF4"/>
    <w:rsid w:val="00B65B6D"/>
    <w:rsid w:val="00B661CE"/>
    <w:rsid w:val="00B665C3"/>
    <w:rsid w:val="00B67109"/>
    <w:rsid w:val="00B7248A"/>
    <w:rsid w:val="00B72513"/>
    <w:rsid w:val="00B7478E"/>
    <w:rsid w:val="00B74D62"/>
    <w:rsid w:val="00B75D6E"/>
    <w:rsid w:val="00B76DC8"/>
    <w:rsid w:val="00B771CC"/>
    <w:rsid w:val="00B77647"/>
    <w:rsid w:val="00B777C5"/>
    <w:rsid w:val="00B8004C"/>
    <w:rsid w:val="00B801E3"/>
    <w:rsid w:val="00B808D1"/>
    <w:rsid w:val="00B80A0A"/>
    <w:rsid w:val="00B80A5F"/>
    <w:rsid w:val="00B80A91"/>
    <w:rsid w:val="00B813F2"/>
    <w:rsid w:val="00B821E7"/>
    <w:rsid w:val="00B821EF"/>
    <w:rsid w:val="00B84E36"/>
    <w:rsid w:val="00B85175"/>
    <w:rsid w:val="00B8527C"/>
    <w:rsid w:val="00B85C72"/>
    <w:rsid w:val="00B86AD9"/>
    <w:rsid w:val="00B8713E"/>
    <w:rsid w:val="00B907BC"/>
    <w:rsid w:val="00B90B5F"/>
    <w:rsid w:val="00B91956"/>
    <w:rsid w:val="00B92C07"/>
    <w:rsid w:val="00B92CC0"/>
    <w:rsid w:val="00B92DC0"/>
    <w:rsid w:val="00B936B0"/>
    <w:rsid w:val="00B93AD8"/>
    <w:rsid w:val="00B94726"/>
    <w:rsid w:val="00B94CB8"/>
    <w:rsid w:val="00B96F8B"/>
    <w:rsid w:val="00B971CF"/>
    <w:rsid w:val="00BA0337"/>
    <w:rsid w:val="00BA11DA"/>
    <w:rsid w:val="00BA1215"/>
    <w:rsid w:val="00BA20FA"/>
    <w:rsid w:val="00BA34D9"/>
    <w:rsid w:val="00BA36FB"/>
    <w:rsid w:val="00BA3CE9"/>
    <w:rsid w:val="00BA43D2"/>
    <w:rsid w:val="00BA4515"/>
    <w:rsid w:val="00BA462C"/>
    <w:rsid w:val="00BA5520"/>
    <w:rsid w:val="00BA5B61"/>
    <w:rsid w:val="00BA5DA0"/>
    <w:rsid w:val="00BA5E74"/>
    <w:rsid w:val="00BA6568"/>
    <w:rsid w:val="00BA7638"/>
    <w:rsid w:val="00BA7F40"/>
    <w:rsid w:val="00BB0329"/>
    <w:rsid w:val="00BB0589"/>
    <w:rsid w:val="00BB0708"/>
    <w:rsid w:val="00BB0E07"/>
    <w:rsid w:val="00BB1738"/>
    <w:rsid w:val="00BB17DF"/>
    <w:rsid w:val="00BB1E16"/>
    <w:rsid w:val="00BB2236"/>
    <w:rsid w:val="00BB2DB9"/>
    <w:rsid w:val="00BB3A05"/>
    <w:rsid w:val="00BB4456"/>
    <w:rsid w:val="00BB483B"/>
    <w:rsid w:val="00BB4ABE"/>
    <w:rsid w:val="00BB4B60"/>
    <w:rsid w:val="00BB52ED"/>
    <w:rsid w:val="00BB5ADE"/>
    <w:rsid w:val="00BB5ED5"/>
    <w:rsid w:val="00BB6C9D"/>
    <w:rsid w:val="00BB7EC1"/>
    <w:rsid w:val="00BC052E"/>
    <w:rsid w:val="00BC194A"/>
    <w:rsid w:val="00BC1D37"/>
    <w:rsid w:val="00BC2727"/>
    <w:rsid w:val="00BC3BAB"/>
    <w:rsid w:val="00BC4701"/>
    <w:rsid w:val="00BC4CFE"/>
    <w:rsid w:val="00BC567A"/>
    <w:rsid w:val="00BC7323"/>
    <w:rsid w:val="00BC7389"/>
    <w:rsid w:val="00BC7511"/>
    <w:rsid w:val="00BC7EEB"/>
    <w:rsid w:val="00BD04E4"/>
    <w:rsid w:val="00BD0B3D"/>
    <w:rsid w:val="00BD1815"/>
    <w:rsid w:val="00BD1DD6"/>
    <w:rsid w:val="00BD1F6F"/>
    <w:rsid w:val="00BD242C"/>
    <w:rsid w:val="00BD25BA"/>
    <w:rsid w:val="00BD2BFD"/>
    <w:rsid w:val="00BD2E4B"/>
    <w:rsid w:val="00BD4843"/>
    <w:rsid w:val="00BD4E11"/>
    <w:rsid w:val="00BD5996"/>
    <w:rsid w:val="00BD72BD"/>
    <w:rsid w:val="00BD79C7"/>
    <w:rsid w:val="00BD7E72"/>
    <w:rsid w:val="00BE07EC"/>
    <w:rsid w:val="00BE11A4"/>
    <w:rsid w:val="00BE1797"/>
    <w:rsid w:val="00BE1E34"/>
    <w:rsid w:val="00BE55E8"/>
    <w:rsid w:val="00BE6A58"/>
    <w:rsid w:val="00BE70A0"/>
    <w:rsid w:val="00BF053C"/>
    <w:rsid w:val="00BF0766"/>
    <w:rsid w:val="00BF094C"/>
    <w:rsid w:val="00BF147D"/>
    <w:rsid w:val="00BF17AB"/>
    <w:rsid w:val="00BF211E"/>
    <w:rsid w:val="00BF3E59"/>
    <w:rsid w:val="00BF4CDB"/>
    <w:rsid w:val="00BF639C"/>
    <w:rsid w:val="00BF68CE"/>
    <w:rsid w:val="00C01044"/>
    <w:rsid w:val="00C01C60"/>
    <w:rsid w:val="00C0233B"/>
    <w:rsid w:val="00C03342"/>
    <w:rsid w:val="00C03593"/>
    <w:rsid w:val="00C03945"/>
    <w:rsid w:val="00C043CA"/>
    <w:rsid w:val="00C047AE"/>
    <w:rsid w:val="00C04A48"/>
    <w:rsid w:val="00C05E44"/>
    <w:rsid w:val="00C0651A"/>
    <w:rsid w:val="00C07BC4"/>
    <w:rsid w:val="00C11A60"/>
    <w:rsid w:val="00C11C8F"/>
    <w:rsid w:val="00C123CC"/>
    <w:rsid w:val="00C13708"/>
    <w:rsid w:val="00C1463E"/>
    <w:rsid w:val="00C14EF0"/>
    <w:rsid w:val="00C15CD5"/>
    <w:rsid w:val="00C16B4B"/>
    <w:rsid w:val="00C16B4D"/>
    <w:rsid w:val="00C16CA6"/>
    <w:rsid w:val="00C1723C"/>
    <w:rsid w:val="00C17AF4"/>
    <w:rsid w:val="00C20BF5"/>
    <w:rsid w:val="00C21320"/>
    <w:rsid w:val="00C22301"/>
    <w:rsid w:val="00C223F0"/>
    <w:rsid w:val="00C235D8"/>
    <w:rsid w:val="00C2375F"/>
    <w:rsid w:val="00C24810"/>
    <w:rsid w:val="00C24905"/>
    <w:rsid w:val="00C24ADE"/>
    <w:rsid w:val="00C24C22"/>
    <w:rsid w:val="00C25A01"/>
    <w:rsid w:val="00C25CC1"/>
    <w:rsid w:val="00C2643A"/>
    <w:rsid w:val="00C2671F"/>
    <w:rsid w:val="00C26AFC"/>
    <w:rsid w:val="00C270FD"/>
    <w:rsid w:val="00C30136"/>
    <w:rsid w:val="00C302B0"/>
    <w:rsid w:val="00C30D44"/>
    <w:rsid w:val="00C30FBD"/>
    <w:rsid w:val="00C323D2"/>
    <w:rsid w:val="00C3268D"/>
    <w:rsid w:val="00C32BD7"/>
    <w:rsid w:val="00C332FF"/>
    <w:rsid w:val="00C3344A"/>
    <w:rsid w:val="00C343B1"/>
    <w:rsid w:val="00C3466E"/>
    <w:rsid w:val="00C3576F"/>
    <w:rsid w:val="00C35AAB"/>
    <w:rsid w:val="00C35D26"/>
    <w:rsid w:val="00C36361"/>
    <w:rsid w:val="00C369E7"/>
    <w:rsid w:val="00C36D2A"/>
    <w:rsid w:val="00C36F4B"/>
    <w:rsid w:val="00C37101"/>
    <w:rsid w:val="00C37117"/>
    <w:rsid w:val="00C40244"/>
    <w:rsid w:val="00C4057C"/>
    <w:rsid w:val="00C41E57"/>
    <w:rsid w:val="00C42A81"/>
    <w:rsid w:val="00C42E01"/>
    <w:rsid w:val="00C432C4"/>
    <w:rsid w:val="00C441C3"/>
    <w:rsid w:val="00C45086"/>
    <w:rsid w:val="00C458D9"/>
    <w:rsid w:val="00C45DA9"/>
    <w:rsid w:val="00C470F9"/>
    <w:rsid w:val="00C5118A"/>
    <w:rsid w:val="00C511AE"/>
    <w:rsid w:val="00C519EF"/>
    <w:rsid w:val="00C51CE2"/>
    <w:rsid w:val="00C5297A"/>
    <w:rsid w:val="00C52D5E"/>
    <w:rsid w:val="00C54020"/>
    <w:rsid w:val="00C550E5"/>
    <w:rsid w:val="00C55369"/>
    <w:rsid w:val="00C560A0"/>
    <w:rsid w:val="00C5692E"/>
    <w:rsid w:val="00C57158"/>
    <w:rsid w:val="00C6099E"/>
    <w:rsid w:val="00C609AC"/>
    <w:rsid w:val="00C61EAD"/>
    <w:rsid w:val="00C62144"/>
    <w:rsid w:val="00C621A2"/>
    <w:rsid w:val="00C65121"/>
    <w:rsid w:val="00C65421"/>
    <w:rsid w:val="00C655B2"/>
    <w:rsid w:val="00C65C95"/>
    <w:rsid w:val="00C66A73"/>
    <w:rsid w:val="00C66B2D"/>
    <w:rsid w:val="00C672E2"/>
    <w:rsid w:val="00C706B9"/>
    <w:rsid w:val="00C70BA4"/>
    <w:rsid w:val="00C71304"/>
    <w:rsid w:val="00C718E5"/>
    <w:rsid w:val="00C71F7A"/>
    <w:rsid w:val="00C72F89"/>
    <w:rsid w:val="00C74CD9"/>
    <w:rsid w:val="00C756EE"/>
    <w:rsid w:val="00C75CED"/>
    <w:rsid w:val="00C76E45"/>
    <w:rsid w:val="00C76E4D"/>
    <w:rsid w:val="00C80147"/>
    <w:rsid w:val="00C810C6"/>
    <w:rsid w:val="00C8295A"/>
    <w:rsid w:val="00C83CB2"/>
    <w:rsid w:val="00C84091"/>
    <w:rsid w:val="00C84396"/>
    <w:rsid w:val="00C84FE6"/>
    <w:rsid w:val="00C85502"/>
    <w:rsid w:val="00C8575E"/>
    <w:rsid w:val="00C85B27"/>
    <w:rsid w:val="00C874F8"/>
    <w:rsid w:val="00C87C35"/>
    <w:rsid w:val="00C9004C"/>
    <w:rsid w:val="00C92E28"/>
    <w:rsid w:val="00C936F1"/>
    <w:rsid w:val="00C93C9D"/>
    <w:rsid w:val="00C93FE0"/>
    <w:rsid w:val="00C946AE"/>
    <w:rsid w:val="00C94775"/>
    <w:rsid w:val="00C96C7B"/>
    <w:rsid w:val="00CA0BEF"/>
    <w:rsid w:val="00CA0E95"/>
    <w:rsid w:val="00CA2306"/>
    <w:rsid w:val="00CA25A3"/>
    <w:rsid w:val="00CA2786"/>
    <w:rsid w:val="00CA31EB"/>
    <w:rsid w:val="00CA3700"/>
    <w:rsid w:val="00CA45D8"/>
    <w:rsid w:val="00CA5825"/>
    <w:rsid w:val="00CA593A"/>
    <w:rsid w:val="00CA6947"/>
    <w:rsid w:val="00CA6CF5"/>
    <w:rsid w:val="00CA765B"/>
    <w:rsid w:val="00CA76ED"/>
    <w:rsid w:val="00CA77B4"/>
    <w:rsid w:val="00CB0FB4"/>
    <w:rsid w:val="00CB368F"/>
    <w:rsid w:val="00CB3898"/>
    <w:rsid w:val="00CB3EB3"/>
    <w:rsid w:val="00CB4272"/>
    <w:rsid w:val="00CB6719"/>
    <w:rsid w:val="00CB70E3"/>
    <w:rsid w:val="00CB778E"/>
    <w:rsid w:val="00CB77DE"/>
    <w:rsid w:val="00CC02DF"/>
    <w:rsid w:val="00CC0E46"/>
    <w:rsid w:val="00CC0FE1"/>
    <w:rsid w:val="00CC1862"/>
    <w:rsid w:val="00CC1883"/>
    <w:rsid w:val="00CC1B72"/>
    <w:rsid w:val="00CC2D49"/>
    <w:rsid w:val="00CC349B"/>
    <w:rsid w:val="00CC3F42"/>
    <w:rsid w:val="00CC4361"/>
    <w:rsid w:val="00CC4C58"/>
    <w:rsid w:val="00CC5174"/>
    <w:rsid w:val="00CC637B"/>
    <w:rsid w:val="00CC669E"/>
    <w:rsid w:val="00CC7360"/>
    <w:rsid w:val="00CC74AE"/>
    <w:rsid w:val="00CD1727"/>
    <w:rsid w:val="00CD2558"/>
    <w:rsid w:val="00CD2DF7"/>
    <w:rsid w:val="00CD41EF"/>
    <w:rsid w:val="00CD4624"/>
    <w:rsid w:val="00CD4795"/>
    <w:rsid w:val="00CD4B68"/>
    <w:rsid w:val="00CD4FBF"/>
    <w:rsid w:val="00CD655D"/>
    <w:rsid w:val="00CD66F8"/>
    <w:rsid w:val="00CD6E5A"/>
    <w:rsid w:val="00CD74F5"/>
    <w:rsid w:val="00CE0025"/>
    <w:rsid w:val="00CE015D"/>
    <w:rsid w:val="00CE01EE"/>
    <w:rsid w:val="00CE0505"/>
    <w:rsid w:val="00CE0DB9"/>
    <w:rsid w:val="00CE1AEF"/>
    <w:rsid w:val="00CE2447"/>
    <w:rsid w:val="00CE3862"/>
    <w:rsid w:val="00CE47C5"/>
    <w:rsid w:val="00CE5493"/>
    <w:rsid w:val="00CE5813"/>
    <w:rsid w:val="00CE6F51"/>
    <w:rsid w:val="00CE7789"/>
    <w:rsid w:val="00CF0976"/>
    <w:rsid w:val="00CF1DDE"/>
    <w:rsid w:val="00CF2F17"/>
    <w:rsid w:val="00CF3662"/>
    <w:rsid w:val="00CF3E03"/>
    <w:rsid w:val="00CF43FC"/>
    <w:rsid w:val="00CF4EAF"/>
    <w:rsid w:val="00CF5A86"/>
    <w:rsid w:val="00CF63EB"/>
    <w:rsid w:val="00CF6D08"/>
    <w:rsid w:val="00CF73C4"/>
    <w:rsid w:val="00D00325"/>
    <w:rsid w:val="00D005B1"/>
    <w:rsid w:val="00D00A9A"/>
    <w:rsid w:val="00D01607"/>
    <w:rsid w:val="00D01E59"/>
    <w:rsid w:val="00D0254B"/>
    <w:rsid w:val="00D02F56"/>
    <w:rsid w:val="00D03B7C"/>
    <w:rsid w:val="00D03D77"/>
    <w:rsid w:val="00D05951"/>
    <w:rsid w:val="00D060E5"/>
    <w:rsid w:val="00D0724C"/>
    <w:rsid w:val="00D07340"/>
    <w:rsid w:val="00D0735A"/>
    <w:rsid w:val="00D0762B"/>
    <w:rsid w:val="00D07971"/>
    <w:rsid w:val="00D07F79"/>
    <w:rsid w:val="00D11688"/>
    <w:rsid w:val="00D11A52"/>
    <w:rsid w:val="00D124B4"/>
    <w:rsid w:val="00D12BF4"/>
    <w:rsid w:val="00D12F6C"/>
    <w:rsid w:val="00D135D9"/>
    <w:rsid w:val="00D146E0"/>
    <w:rsid w:val="00D14CCE"/>
    <w:rsid w:val="00D158E7"/>
    <w:rsid w:val="00D164CE"/>
    <w:rsid w:val="00D174CE"/>
    <w:rsid w:val="00D20366"/>
    <w:rsid w:val="00D20E12"/>
    <w:rsid w:val="00D20EC9"/>
    <w:rsid w:val="00D21017"/>
    <w:rsid w:val="00D215EA"/>
    <w:rsid w:val="00D21AD8"/>
    <w:rsid w:val="00D236A9"/>
    <w:rsid w:val="00D241E0"/>
    <w:rsid w:val="00D243CA"/>
    <w:rsid w:val="00D2456F"/>
    <w:rsid w:val="00D24E44"/>
    <w:rsid w:val="00D252CF"/>
    <w:rsid w:val="00D260EA"/>
    <w:rsid w:val="00D265D4"/>
    <w:rsid w:val="00D26723"/>
    <w:rsid w:val="00D27DD8"/>
    <w:rsid w:val="00D302A6"/>
    <w:rsid w:val="00D3037A"/>
    <w:rsid w:val="00D3090E"/>
    <w:rsid w:val="00D3094F"/>
    <w:rsid w:val="00D30FAD"/>
    <w:rsid w:val="00D343AE"/>
    <w:rsid w:val="00D348E2"/>
    <w:rsid w:val="00D35FC1"/>
    <w:rsid w:val="00D36560"/>
    <w:rsid w:val="00D369AE"/>
    <w:rsid w:val="00D37D60"/>
    <w:rsid w:val="00D40066"/>
    <w:rsid w:val="00D4064D"/>
    <w:rsid w:val="00D40B94"/>
    <w:rsid w:val="00D414E8"/>
    <w:rsid w:val="00D4202E"/>
    <w:rsid w:val="00D43524"/>
    <w:rsid w:val="00D44558"/>
    <w:rsid w:val="00D447E9"/>
    <w:rsid w:val="00D455A4"/>
    <w:rsid w:val="00D45A9E"/>
    <w:rsid w:val="00D46098"/>
    <w:rsid w:val="00D47DAB"/>
    <w:rsid w:val="00D51160"/>
    <w:rsid w:val="00D51310"/>
    <w:rsid w:val="00D5270F"/>
    <w:rsid w:val="00D53B25"/>
    <w:rsid w:val="00D55688"/>
    <w:rsid w:val="00D56344"/>
    <w:rsid w:val="00D56509"/>
    <w:rsid w:val="00D57529"/>
    <w:rsid w:val="00D60272"/>
    <w:rsid w:val="00D6077D"/>
    <w:rsid w:val="00D608AC"/>
    <w:rsid w:val="00D608E7"/>
    <w:rsid w:val="00D60AC1"/>
    <w:rsid w:val="00D612E0"/>
    <w:rsid w:val="00D62F8E"/>
    <w:rsid w:val="00D64491"/>
    <w:rsid w:val="00D651BD"/>
    <w:rsid w:val="00D65771"/>
    <w:rsid w:val="00D66458"/>
    <w:rsid w:val="00D66D0E"/>
    <w:rsid w:val="00D67460"/>
    <w:rsid w:val="00D71B35"/>
    <w:rsid w:val="00D71BE0"/>
    <w:rsid w:val="00D72795"/>
    <w:rsid w:val="00D72EAC"/>
    <w:rsid w:val="00D73C24"/>
    <w:rsid w:val="00D741CB"/>
    <w:rsid w:val="00D75411"/>
    <w:rsid w:val="00D759CA"/>
    <w:rsid w:val="00D76995"/>
    <w:rsid w:val="00D777AA"/>
    <w:rsid w:val="00D806F8"/>
    <w:rsid w:val="00D80734"/>
    <w:rsid w:val="00D81BA0"/>
    <w:rsid w:val="00D826A0"/>
    <w:rsid w:val="00D831A1"/>
    <w:rsid w:val="00D83F7B"/>
    <w:rsid w:val="00D84262"/>
    <w:rsid w:val="00D8595B"/>
    <w:rsid w:val="00D900D2"/>
    <w:rsid w:val="00D9200C"/>
    <w:rsid w:val="00D9336B"/>
    <w:rsid w:val="00D93477"/>
    <w:rsid w:val="00D94668"/>
    <w:rsid w:val="00D946E8"/>
    <w:rsid w:val="00D94976"/>
    <w:rsid w:val="00D94B86"/>
    <w:rsid w:val="00D951C9"/>
    <w:rsid w:val="00D954CE"/>
    <w:rsid w:val="00D95C96"/>
    <w:rsid w:val="00D968F6"/>
    <w:rsid w:val="00D96C7E"/>
    <w:rsid w:val="00D9726C"/>
    <w:rsid w:val="00D97675"/>
    <w:rsid w:val="00D97FFE"/>
    <w:rsid w:val="00DA0245"/>
    <w:rsid w:val="00DA0712"/>
    <w:rsid w:val="00DA0739"/>
    <w:rsid w:val="00DA0868"/>
    <w:rsid w:val="00DA0E42"/>
    <w:rsid w:val="00DA0ED3"/>
    <w:rsid w:val="00DA27B3"/>
    <w:rsid w:val="00DA29B5"/>
    <w:rsid w:val="00DA2BAB"/>
    <w:rsid w:val="00DA3465"/>
    <w:rsid w:val="00DA3767"/>
    <w:rsid w:val="00DA3F35"/>
    <w:rsid w:val="00DA43E9"/>
    <w:rsid w:val="00DA4E0A"/>
    <w:rsid w:val="00DA60BD"/>
    <w:rsid w:val="00DA6448"/>
    <w:rsid w:val="00DA7565"/>
    <w:rsid w:val="00DB01DF"/>
    <w:rsid w:val="00DB16B0"/>
    <w:rsid w:val="00DB1784"/>
    <w:rsid w:val="00DB345B"/>
    <w:rsid w:val="00DB3719"/>
    <w:rsid w:val="00DB491E"/>
    <w:rsid w:val="00DB4C73"/>
    <w:rsid w:val="00DB75B2"/>
    <w:rsid w:val="00DC0699"/>
    <w:rsid w:val="00DC281A"/>
    <w:rsid w:val="00DC285E"/>
    <w:rsid w:val="00DC31B8"/>
    <w:rsid w:val="00DC4606"/>
    <w:rsid w:val="00DC53CF"/>
    <w:rsid w:val="00DC555B"/>
    <w:rsid w:val="00DC619C"/>
    <w:rsid w:val="00DC68DF"/>
    <w:rsid w:val="00DC722D"/>
    <w:rsid w:val="00DC7332"/>
    <w:rsid w:val="00DD0271"/>
    <w:rsid w:val="00DD0295"/>
    <w:rsid w:val="00DD04FC"/>
    <w:rsid w:val="00DD1122"/>
    <w:rsid w:val="00DD2ACA"/>
    <w:rsid w:val="00DD2B50"/>
    <w:rsid w:val="00DD34A0"/>
    <w:rsid w:val="00DD3BFE"/>
    <w:rsid w:val="00DD3D23"/>
    <w:rsid w:val="00DD4733"/>
    <w:rsid w:val="00DD4D98"/>
    <w:rsid w:val="00DD5518"/>
    <w:rsid w:val="00DD6AA9"/>
    <w:rsid w:val="00DD6CD1"/>
    <w:rsid w:val="00DD6D48"/>
    <w:rsid w:val="00DD70F7"/>
    <w:rsid w:val="00DE09DF"/>
    <w:rsid w:val="00DE0A1F"/>
    <w:rsid w:val="00DE10D7"/>
    <w:rsid w:val="00DE10E0"/>
    <w:rsid w:val="00DE2314"/>
    <w:rsid w:val="00DE2CBD"/>
    <w:rsid w:val="00DE318F"/>
    <w:rsid w:val="00DE42C2"/>
    <w:rsid w:val="00DE4B4E"/>
    <w:rsid w:val="00DE62F0"/>
    <w:rsid w:val="00DE6F7E"/>
    <w:rsid w:val="00DE7C50"/>
    <w:rsid w:val="00DF093A"/>
    <w:rsid w:val="00DF280F"/>
    <w:rsid w:val="00DF33AE"/>
    <w:rsid w:val="00DF4168"/>
    <w:rsid w:val="00DF426C"/>
    <w:rsid w:val="00DF5118"/>
    <w:rsid w:val="00DF597D"/>
    <w:rsid w:val="00DF5EFE"/>
    <w:rsid w:val="00DF68FC"/>
    <w:rsid w:val="00DF7352"/>
    <w:rsid w:val="00DF7E84"/>
    <w:rsid w:val="00E00674"/>
    <w:rsid w:val="00E00BAE"/>
    <w:rsid w:val="00E00D51"/>
    <w:rsid w:val="00E01008"/>
    <w:rsid w:val="00E020CC"/>
    <w:rsid w:val="00E026E3"/>
    <w:rsid w:val="00E04EB4"/>
    <w:rsid w:val="00E052F2"/>
    <w:rsid w:val="00E0544F"/>
    <w:rsid w:val="00E06BAA"/>
    <w:rsid w:val="00E06D40"/>
    <w:rsid w:val="00E075E6"/>
    <w:rsid w:val="00E07B98"/>
    <w:rsid w:val="00E109C3"/>
    <w:rsid w:val="00E11362"/>
    <w:rsid w:val="00E1138C"/>
    <w:rsid w:val="00E117B4"/>
    <w:rsid w:val="00E12243"/>
    <w:rsid w:val="00E12550"/>
    <w:rsid w:val="00E12F55"/>
    <w:rsid w:val="00E14C62"/>
    <w:rsid w:val="00E14CFB"/>
    <w:rsid w:val="00E15385"/>
    <w:rsid w:val="00E167DD"/>
    <w:rsid w:val="00E17B55"/>
    <w:rsid w:val="00E200F2"/>
    <w:rsid w:val="00E20475"/>
    <w:rsid w:val="00E20687"/>
    <w:rsid w:val="00E211DD"/>
    <w:rsid w:val="00E22FA5"/>
    <w:rsid w:val="00E2380B"/>
    <w:rsid w:val="00E23A36"/>
    <w:rsid w:val="00E23B80"/>
    <w:rsid w:val="00E23C11"/>
    <w:rsid w:val="00E246E9"/>
    <w:rsid w:val="00E24A35"/>
    <w:rsid w:val="00E24BA2"/>
    <w:rsid w:val="00E24DDA"/>
    <w:rsid w:val="00E24F3D"/>
    <w:rsid w:val="00E258B6"/>
    <w:rsid w:val="00E263C6"/>
    <w:rsid w:val="00E26E64"/>
    <w:rsid w:val="00E27211"/>
    <w:rsid w:val="00E30492"/>
    <w:rsid w:val="00E30681"/>
    <w:rsid w:val="00E30858"/>
    <w:rsid w:val="00E32041"/>
    <w:rsid w:val="00E32FA4"/>
    <w:rsid w:val="00E33785"/>
    <w:rsid w:val="00E33CC8"/>
    <w:rsid w:val="00E34853"/>
    <w:rsid w:val="00E353F3"/>
    <w:rsid w:val="00E35762"/>
    <w:rsid w:val="00E35F46"/>
    <w:rsid w:val="00E40F07"/>
    <w:rsid w:val="00E4175E"/>
    <w:rsid w:val="00E41D23"/>
    <w:rsid w:val="00E41D58"/>
    <w:rsid w:val="00E420EF"/>
    <w:rsid w:val="00E42A57"/>
    <w:rsid w:val="00E43A82"/>
    <w:rsid w:val="00E43ACC"/>
    <w:rsid w:val="00E43FB9"/>
    <w:rsid w:val="00E45051"/>
    <w:rsid w:val="00E45D64"/>
    <w:rsid w:val="00E45EB9"/>
    <w:rsid w:val="00E46049"/>
    <w:rsid w:val="00E461EB"/>
    <w:rsid w:val="00E46D6F"/>
    <w:rsid w:val="00E471D3"/>
    <w:rsid w:val="00E47B94"/>
    <w:rsid w:val="00E47D3A"/>
    <w:rsid w:val="00E5005B"/>
    <w:rsid w:val="00E503D4"/>
    <w:rsid w:val="00E50AC4"/>
    <w:rsid w:val="00E51737"/>
    <w:rsid w:val="00E51D42"/>
    <w:rsid w:val="00E52366"/>
    <w:rsid w:val="00E526C3"/>
    <w:rsid w:val="00E546C4"/>
    <w:rsid w:val="00E5497B"/>
    <w:rsid w:val="00E5534D"/>
    <w:rsid w:val="00E555D9"/>
    <w:rsid w:val="00E55EF3"/>
    <w:rsid w:val="00E56694"/>
    <w:rsid w:val="00E567A8"/>
    <w:rsid w:val="00E56E02"/>
    <w:rsid w:val="00E57BBA"/>
    <w:rsid w:val="00E6009E"/>
    <w:rsid w:val="00E600AE"/>
    <w:rsid w:val="00E614C0"/>
    <w:rsid w:val="00E61E08"/>
    <w:rsid w:val="00E62C81"/>
    <w:rsid w:val="00E63815"/>
    <w:rsid w:val="00E64715"/>
    <w:rsid w:val="00E6525A"/>
    <w:rsid w:val="00E65778"/>
    <w:rsid w:val="00E67809"/>
    <w:rsid w:val="00E679F9"/>
    <w:rsid w:val="00E703BB"/>
    <w:rsid w:val="00E704F7"/>
    <w:rsid w:val="00E7059C"/>
    <w:rsid w:val="00E70CA8"/>
    <w:rsid w:val="00E715B1"/>
    <w:rsid w:val="00E7209B"/>
    <w:rsid w:val="00E721FC"/>
    <w:rsid w:val="00E72252"/>
    <w:rsid w:val="00E722EA"/>
    <w:rsid w:val="00E72681"/>
    <w:rsid w:val="00E73BA4"/>
    <w:rsid w:val="00E73F83"/>
    <w:rsid w:val="00E73FBF"/>
    <w:rsid w:val="00E7675B"/>
    <w:rsid w:val="00E7676B"/>
    <w:rsid w:val="00E76D0C"/>
    <w:rsid w:val="00E772D3"/>
    <w:rsid w:val="00E803CA"/>
    <w:rsid w:val="00E809CB"/>
    <w:rsid w:val="00E80A7C"/>
    <w:rsid w:val="00E81CB8"/>
    <w:rsid w:val="00E81F3D"/>
    <w:rsid w:val="00E8238A"/>
    <w:rsid w:val="00E831B4"/>
    <w:rsid w:val="00E852D0"/>
    <w:rsid w:val="00E85646"/>
    <w:rsid w:val="00E8706B"/>
    <w:rsid w:val="00E87918"/>
    <w:rsid w:val="00E91076"/>
    <w:rsid w:val="00E929B0"/>
    <w:rsid w:val="00E92CBC"/>
    <w:rsid w:val="00E92DE1"/>
    <w:rsid w:val="00E931CA"/>
    <w:rsid w:val="00E9369C"/>
    <w:rsid w:val="00E93C2D"/>
    <w:rsid w:val="00E960FE"/>
    <w:rsid w:val="00E9631D"/>
    <w:rsid w:val="00E96DC9"/>
    <w:rsid w:val="00E96DDD"/>
    <w:rsid w:val="00E9709D"/>
    <w:rsid w:val="00E97189"/>
    <w:rsid w:val="00E97207"/>
    <w:rsid w:val="00E97697"/>
    <w:rsid w:val="00E9788F"/>
    <w:rsid w:val="00E97A9C"/>
    <w:rsid w:val="00E97F8D"/>
    <w:rsid w:val="00EA02B4"/>
    <w:rsid w:val="00EA1337"/>
    <w:rsid w:val="00EA14CA"/>
    <w:rsid w:val="00EA187B"/>
    <w:rsid w:val="00EA1CD0"/>
    <w:rsid w:val="00EA1ECF"/>
    <w:rsid w:val="00EA1FBE"/>
    <w:rsid w:val="00EA2267"/>
    <w:rsid w:val="00EA2A36"/>
    <w:rsid w:val="00EA35EE"/>
    <w:rsid w:val="00EA3839"/>
    <w:rsid w:val="00EA39BF"/>
    <w:rsid w:val="00EA41AF"/>
    <w:rsid w:val="00EA45D4"/>
    <w:rsid w:val="00EA5C02"/>
    <w:rsid w:val="00EA6D1F"/>
    <w:rsid w:val="00EA7364"/>
    <w:rsid w:val="00EA7F09"/>
    <w:rsid w:val="00EB036F"/>
    <w:rsid w:val="00EB04EC"/>
    <w:rsid w:val="00EB1424"/>
    <w:rsid w:val="00EB18D6"/>
    <w:rsid w:val="00EB1A44"/>
    <w:rsid w:val="00EB2A25"/>
    <w:rsid w:val="00EB2EB9"/>
    <w:rsid w:val="00EB3BDF"/>
    <w:rsid w:val="00EB50E9"/>
    <w:rsid w:val="00EB51E5"/>
    <w:rsid w:val="00EB532A"/>
    <w:rsid w:val="00EB57AA"/>
    <w:rsid w:val="00EB6C59"/>
    <w:rsid w:val="00EB745A"/>
    <w:rsid w:val="00EB7499"/>
    <w:rsid w:val="00EC0259"/>
    <w:rsid w:val="00EC1B0B"/>
    <w:rsid w:val="00EC1EEE"/>
    <w:rsid w:val="00EC3BA5"/>
    <w:rsid w:val="00EC4075"/>
    <w:rsid w:val="00EC4B11"/>
    <w:rsid w:val="00EC4E31"/>
    <w:rsid w:val="00EC4F61"/>
    <w:rsid w:val="00EC5C72"/>
    <w:rsid w:val="00EC5D12"/>
    <w:rsid w:val="00EC67D9"/>
    <w:rsid w:val="00EC706E"/>
    <w:rsid w:val="00EC7584"/>
    <w:rsid w:val="00ED1137"/>
    <w:rsid w:val="00ED205F"/>
    <w:rsid w:val="00ED3785"/>
    <w:rsid w:val="00ED3BB6"/>
    <w:rsid w:val="00ED4FAC"/>
    <w:rsid w:val="00ED55AB"/>
    <w:rsid w:val="00ED5BEE"/>
    <w:rsid w:val="00ED678C"/>
    <w:rsid w:val="00ED6F7E"/>
    <w:rsid w:val="00ED7864"/>
    <w:rsid w:val="00EE066B"/>
    <w:rsid w:val="00EE071D"/>
    <w:rsid w:val="00EE114B"/>
    <w:rsid w:val="00EE30CE"/>
    <w:rsid w:val="00EE62B9"/>
    <w:rsid w:val="00EE6BBC"/>
    <w:rsid w:val="00EE6D21"/>
    <w:rsid w:val="00EE7CBA"/>
    <w:rsid w:val="00EE7DEA"/>
    <w:rsid w:val="00EF293E"/>
    <w:rsid w:val="00EF2B9E"/>
    <w:rsid w:val="00EF60BA"/>
    <w:rsid w:val="00EF63B4"/>
    <w:rsid w:val="00EF646E"/>
    <w:rsid w:val="00EF6D35"/>
    <w:rsid w:val="00EF7BCB"/>
    <w:rsid w:val="00F016E0"/>
    <w:rsid w:val="00F0182C"/>
    <w:rsid w:val="00F02014"/>
    <w:rsid w:val="00F02E6D"/>
    <w:rsid w:val="00F031CD"/>
    <w:rsid w:val="00F04396"/>
    <w:rsid w:val="00F05523"/>
    <w:rsid w:val="00F06AEA"/>
    <w:rsid w:val="00F07A9B"/>
    <w:rsid w:val="00F1032A"/>
    <w:rsid w:val="00F10FFA"/>
    <w:rsid w:val="00F11706"/>
    <w:rsid w:val="00F146CD"/>
    <w:rsid w:val="00F147D2"/>
    <w:rsid w:val="00F14849"/>
    <w:rsid w:val="00F1487C"/>
    <w:rsid w:val="00F14F7E"/>
    <w:rsid w:val="00F1500C"/>
    <w:rsid w:val="00F15119"/>
    <w:rsid w:val="00F16394"/>
    <w:rsid w:val="00F174E5"/>
    <w:rsid w:val="00F176B9"/>
    <w:rsid w:val="00F177BE"/>
    <w:rsid w:val="00F17D34"/>
    <w:rsid w:val="00F17E18"/>
    <w:rsid w:val="00F17EF7"/>
    <w:rsid w:val="00F21262"/>
    <w:rsid w:val="00F22503"/>
    <w:rsid w:val="00F22B71"/>
    <w:rsid w:val="00F22DE0"/>
    <w:rsid w:val="00F23751"/>
    <w:rsid w:val="00F25092"/>
    <w:rsid w:val="00F2519C"/>
    <w:rsid w:val="00F2558C"/>
    <w:rsid w:val="00F25BBD"/>
    <w:rsid w:val="00F25CD5"/>
    <w:rsid w:val="00F2603E"/>
    <w:rsid w:val="00F26354"/>
    <w:rsid w:val="00F302CF"/>
    <w:rsid w:val="00F32342"/>
    <w:rsid w:val="00F32425"/>
    <w:rsid w:val="00F32477"/>
    <w:rsid w:val="00F33659"/>
    <w:rsid w:val="00F351C9"/>
    <w:rsid w:val="00F353DF"/>
    <w:rsid w:val="00F37295"/>
    <w:rsid w:val="00F37F68"/>
    <w:rsid w:val="00F40785"/>
    <w:rsid w:val="00F40D49"/>
    <w:rsid w:val="00F40FF9"/>
    <w:rsid w:val="00F421E1"/>
    <w:rsid w:val="00F422CD"/>
    <w:rsid w:val="00F42727"/>
    <w:rsid w:val="00F42BCE"/>
    <w:rsid w:val="00F42F3D"/>
    <w:rsid w:val="00F43148"/>
    <w:rsid w:val="00F433DE"/>
    <w:rsid w:val="00F43545"/>
    <w:rsid w:val="00F44539"/>
    <w:rsid w:val="00F4463B"/>
    <w:rsid w:val="00F45F6D"/>
    <w:rsid w:val="00F466EC"/>
    <w:rsid w:val="00F47578"/>
    <w:rsid w:val="00F509E7"/>
    <w:rsid w:val="00F5120E"/>
    <w:rsid w:val="00F51A2B"/>
    <w:rsid w:val="00F51E3D"/>
    <w:rsid w:val="00F52732"/>
    <w:rsid w:val="00F52CA2"/>
    <w:rsid w:val="00F53447"/>
    <w:rsid w:val="00F54945"/>
    <w:rsid w:val="00F5495E"/>
    <w:rsid w:val="00F55173"/>
    <w:rsid w:val="00F551C2"/>
    <w:rsid w:val="00F554C7"/>
    <w:rsid w:val="00F56792"/>
    <w:rsid w:val="00F5731E"/>
    <w:rsid w:val="00F5797E"/>
    <w:rsid w:val="00F57B34"/>
    <w:rsid w:val="00F600D3"/>
    <w:rsid w:val="00F61B42"/>
    <w:rsid w:val="00F627C5"/>
    <w:rsid w:val="00F6281C"/>
    <w:rsid w:val="00F63C58"/>
    <w:rsid w:val="00F6448E"/>
    <w:rsid w:val="00F6523B"/>
    <w:rsid w:val="00F6537D"/>
    <w:rsid w:val="00F6549E"/>
    <w:rsid w:val="00F668EE"/>
    <w:rsid w:val="00F677CF"/>
    <w:rsid w:val="00F67B6B"/>
    <w:rsid w:val="00F71FFA"/>
    <w:rsid w:val="00F72712"/>
    <w:rsid w:val="00F72D1D"/>
    <w:rsid w:val="00F73129"/>
    <w:rsid w:val="00F73816"/>
    <w:rsid w:val="00F738CC"/>
    <w:rsid w:val="00F73AAD"/>
    <w:rsid w:val="00F73CEA"/>
    <w:rsid w:val="00F743A2"/>
    <w:rsid w:val="00F744A2"/>
    <w:rsid w:val="00F74694"/>
    <w:rsid w:val="00F7513B"/>
    <w:rsid w:val="00F75200"/>
    <w:rsid w:val="00F75EA1"/>
    <w:rsid w:val="00F75F4C"/>
    <w:rsid w:val="00F76131"/>
    <w:rsid w:val="00F7669B"/>
    <w:rsid w:val="00F76968"/>
    <w:rsid w:val="00F76FA0"/>
    <w:rsid w:val="00F77FF9"/>
    <w:rsid w:val="00F81133"/>
    <w:rsid w:val="00F82173"/>
    <w:rsid w:val="00F8269F"/>
    <w:rsid w:val="00F82BA6"/>
    <w:rsid w:val="00F82DB3"/>
    <w:rsid w:val="00F83F1F"/>
    <w:rsid w:val="00F8408C"/>
    <w:rsid w:val="00F85882"/>
    <w:rsid w:val="00F85D4D"/>
    <w:rsid w:val="00F8656F"/>
    <w:rsid w:val="00F86EA9"/>
    <w:rsid w:val="00F879EA"/>
    <w:rsid w:val="00F87EE4"/>
    <w:rsid w:val="00F9087A"/>
    <w:rsid w:val="00F90959"/>
    <w:rsid w:val="00F90C6B"/>
    <w:rsid w:val="00F9103D"/>
    <w:rsid w:val="00F91383"/>
    <w:rsid w:val="00F91A88"/>
    <w:rsid w:val="00F91BD5"/>
    <w:rsid w:val="00F9271D"/>
    <w:rsid w:val="00F9271E"/>
    <w:rsid w:val="00F92823"/>
    <w:rsid w:val="00F94249"/>
    <w:rsid w:val="00F95328"/>
    <w:rsid w:val="00F95624"/>
    <w:rsid w:val="00F95937"/>
    <w:rsid w:val="00F96A66"/>
    <w:rsid w:val="00F979A8"/>
    <w:rsid w:val="00FA08BC"/>
    <w:rsid w:val="00FA09B5"/>
    <w:rsid w:val="00FA15D6"/>
    <w:rsid w:val="00FA1EEC"/>
    <w:rsid w:val="00FA2B66"/>
    <w:rsid w:val="00FA2B87"/>
    <w:rsid w:val="00FA2E66"/>
    <w:rsid w:val="00FA3325"/>
    <w:rsid w:val="00FA3973"/>
    <w:rsid w:val="00FA41A5"/>
    <w:rsid w:val="00FA42C1"/>
    <w:rsid w:val="00FA4564"/>
    <w:rsid w:val="00FA6209"/>
    <w:rsid w:val="00FB1A5E"/>
    <w:rsid w:val="00FB232B"/>
    <w:rsid w:val="00FB2A53"/>
    <w:rsid w:val="00FB2F2B"/>
    <w:rsid w:val="00FB3778"/>
    <w:rsid w:val="00FB389F"/>
    <w:rsid w:val="00FB436B"/>
    <w:rsid w:val="00FB4515"/>
    <w:rsid w:val="00FB4B21"/>
    <w:rsid w:val="00FB5BB4"/>
    <w:rsid w:val="00FB6052"/>
    <w:rsid w:val="00FB64B0"/>
    <w:rsid w:val="00FC036D"/>
    <w:rsid w:val="00FC10C7"/>
    <w:rsid w:val="00FC2348"/>
    <w:rsid w:val="00FC2A86"/>
    <w:rsid w:val="00FC4E9C"/>
    <w:rsid w:val="00FC4F8D"/>
    <w:rsid w:val="00FC58EF"/>
    <w:rsid w:val="00FC58F1"/>
    <w:rsid w:val="00FC5BD9"/>
    <w:rsid w:val="00FC675C"/>
    <w:rsid w:val="00FC6D22"/>
    <w:rsid w:val="00FC71B5"/>
    <w:rsid w:val="00FC720B"/>
    <w:rsid w:val="00FD15D3"/>
    <w:rsid w:val="00FD15E6"/>
    <w:rsid w:val="00FD1705"/>
    <w:rsid w:val="00FD1E57"/>
    <w:rsid w:val="00FD24B2"/>
    <w:rsid w:val="00FD289C"/>
    <w:rsid w:val="00FD2C22"/>
    <w:rsid w:val="00FD3433"/>
    <w:rsid w:val="00FD3BAA"/>
    <w:rsid w:val="00FD40F8"/>
    <w:rsid w:val="00FD44D6"/>
    <w:rsid w:val="00FD458D"/>
    <w:rsid w:val="00FD57E5"/>
    <w:rsid w:val="00FD717E"/>
    <w:rsid w:val="00FD7CB2"/>
    <w:rsid w:val="00FE011D"/>
    <w:rsid w:val="00FE01C5"/>
    <w:rsid w:val="00FE0A15"/>
    <w:rsid w:val="00FE0ACA"/>
    <w:rsid w:val="00FE0DF5"/>
    <w:rsid w:val="00FE119E"/>
    <w:rsid w:val="00FE18B4"/>
    <w:rsid w:val="00FE23F0"/>
    <w:rsid w:val="00FE29FF"/>
    <w:rsid w:val="00FE3107"/>
    <w:rsid w:val="00FE3C3B"/>
    <w:rsid w:val="00FE4231"/>
    <w:rsid w:val="00FE5D85"/>
    <w:rsid w:val="00FE7354"/>
    <w:rsid w:val="00FE7940"/>
    <w:rsid w:val="00FE7DBD"/>
    <w:rsid w:val="00FE7FC2"/>
    <w:rsid w:val="00FF0535"/>
    <w:rsid w:val="00FF10D3"/>
    <w:rsid w:val="00FF156B"/>
    <w:rsid w:val="00FF162B"/>
    <w:rsid w:val="00FF1672"/>
    <w:rsid w:val="00FF2162"/>
    <w:rsid w:val="00FF2A92"/>
    <w:rsid w:val="00FF2BDB"/>
    <w:rsid w:val="00FF3178"/>
    <w:rsid w:val="00FF3301"/>
    <w:rsid w:val="00FF467A"/>
    <w:rsid w:val="00FF561A"/>
    <w:rsid w:val="00FF6331"/>
    <w:rsid w:val="00FF64F1"/>
    <w:rsid w:val="00FF664B"/>
    <w:rsid w:val="00FF6C8B"/>
    <w:rsid w:val="00FF74D1"/>
    <w:rsid w:val="00FF75E9"/>
    <w:rsid w:val="00FF7C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21"/>
    <w:rPr>
      <w:sz w:val="26"/>
      <w:lang w:eastAsia="en-US"/>
    </w:rPr>
  </w:style>
  <w:style w:type="paragraph" w:styleId="Heading1">
    <w:name w:val="heading 1"/>
    <w:basedOn w:val="Normal"/>
    <w:next w:val="Normal"/>
    <w:qFormat/>
    <w:rsid w:val="00461A21"/>
    <w:pPr>
      <w:keepNext/>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1DivisionHeading1">
    <w:name w:val="Am1DivisionHeading1"/>
    <w:basedOn w:val="Normal"/>
    <w:rsid w:val="00461A21"/>
    <w:pPr>
      <w:keepNext/>
      <w:keepLines/>
      <w:suppressAutoHyphens/>
      <w:spacing w:before="240" w:after="120"/>
      <w:ind w:left="475"/>
      <w:jc w:val="center"/>
    </w:pPr>
    <w:rPr>
      <w:caps/>
    </w:rPr>
  </w:style>
  <w:style w:type="paragraph" w:customStyle="1" w:styleId="Am1SectionHeading">
    <w:name w:val="Am1SectionHeading"/>
    <w:basedOn w:val="Normal"/>
    <w:rsid w:val="00461A21"/>
    <w:pPr>
      <w:keepNext/>
      <w:keepLines/>
      <w:spacing w:before="240"/>
      <w:ind w:left="475"/>
    </w:pPr>
    <w:rPr>
      <w:b/>
      <w:lang w:val="en-US"/>
    </w:rPr>
  </w:style>
  <w:style w:type="paragraph" w:customStyle="1" w:styleId="Am1SectionText1">
    <w:name w:val="Am1SectionText(1)"/>
    <w:basedOn w:val="Normal"/>
    <w:rsid w:val="00461A21"/>
    <w:pPr>
      <w:spacing w:before="120"/>
      <w:ind w:left="475" w:firstLine="144"/>
      <w:jc w:val="both"/>
    </w:pPr>
    <w:rPr>
      <w:lang w:val="en-US"/>
    </w:rPr>
  </w:style>
  <w:style w:type="paragraph" w:styleId="BodyText">
    <w:name w:val="Body Text"/>
    <w:basedOn w:val="Normal"/>
    <w:link w:val="BodyTextChar"/>
    <w:rsid w:val="00461A21"/>
    <w:rPr>
      <w:strike/>
      <w:sz w:val="24"/>
    </w:rPr>
  </w:style>
  <w:style w:type="paragraph" w:customStyle="1" w:styleId="Am1SectionTexti">
    <w:name w:val="Am1SectionText(i)"/>
    <w:basedOn w:val="Normal"/>
    <w:rsid w:val="00461A21"/>
    <w:pPr>
      <w:tabs>
        <w:tab w:val="right" w:pos="1829"/>
      </w:tabs>
      <w:spacing w:before="120"/>
      <w:ind w:left="1915" w:hanging="720"/>
      <w:jc w:val="both"/>
    </w:pPr>
    <w:rPr>
      <w:lang w:val="en-US"/>
    </w:rPr>
  </w:style>
  <w:style w:type="paragraph" w:customStyle="1" w:styleId="Am1SectionTexta">
    <w:name w:val="Am1SectionText(a)"/>
    <w:basedOn w:val="Normal"/>
    <w:rsid w:val="00461A21"/>
    <w:pPr>
      <w:spacing w:before="120"/>
      <w:ind w:left="1425" w:hanging="475"/>
      <w:jc w:val="both"/>
    </w:pPr>
    <w:rPr>
      <w:lang w:val="en-US"/>
    </w:rPr>
  </w:style>
  <w:style w:type="paragraph" w:customStyle="1" w:styleId="Am1SectionInterpretationItem">
    <w:name w:val="Am1SectionInterpretationItem"/>
    <w:basedOn w:val="Normal"/>
    <w:rsid w:val="00461A21"/>
    <w:pPr>
      <w:spacing w:before="120"/>
      <w:ind w:left="1195" w:hanging="288"/>
      <w:jc w:val="both"/>
    </w:pPr>
    <w:rPr>
      <w:lang w:val="en-US"/>
    </w:rPr>
  </w:style>
  <w:style w:type="paragraph" w:styleId="Footer">
    <w:name w:val="footer"/>
    <w:basedOn w:val="Normal"/>
    <w:link w:val="FooterChar"/>
    <w:uiPriority w:val="99"/>
    <w:rsid w:val="00461A21"/>
    <w:pPr>
      <w:tabs>
        <w:tab w:val="center" w:pos="4320"/>
        <w:tab w:val="right" w:pos="8640"/>
      </w:tabs>
    </w:pPr>
  </w:style>
  <w:style w:type="character" w:styleId="PageNumber">
    <w:name w:val="page number"/>
    <w:basedOn w:val="DefaultParagraphFont"/>
    <w:rsid w:val="00461A21"/>
  </w:style>
  <w:style w:type="paragraph" w:customStyle="1" w:styleId="Am2SectionText1">
    <w:name w:val="Am2SectionText(1)"/>
    <w:basedOn w:val="Normal"/>
    <w:rsid w:val="00461A21"/>
    <w:pPr>
      <w:spacing w:before="120"/>
      <w:ind w:left="1152" w:firstLine="144"/>
      <w:jc w:val="both"/>
    </w:pPr>
    <w:rPr>
      <w:lang w:val="en-US" w:eastAsia="zh-CN"/>
    </w:rPr>
  </w:style>
  <w:style w:type="paragraph" w:customStyle="1" w:styleId="Am2SectionTexta">
    <w:name w:val="Am2SectionText(a)"/>
    <w:basedOn w:val="Normal"/>
    <w:rsid w:val="00461A21"/>
    <w:pPr>
      <w:spacing w:before="120"/>
      <w:ind w:left="2102" w:hanging="475"/>
      <w:jc w:val="both"/>
    </w:pPr>
    <w:rPr>
      <w:rFonts w:eastAsia="SimSun"/>
      <w:lang w:val="en-US" w:eastAsia="zh-CN"/>
    </w:rPr>
  </w:style>
  <w:style w:type="character" w:customStyle="1" w:styleId="Am2SectionTextaChar">
    <w:name w:val="Am2SectionText(a) Char"/>
    <w:basedOn w:val="DefaultParagraphFont"/>
    <w:rsid w:val="00461A21"/>
    <w:rPr>
      <w:rFonts w:eastAsia="SimSun"/>
      <w:sz w:val="26"/>
      <w:lang w:val="en-US" w:eastAsia="zh-CN" w:bidi="ar-SA"/>
    </w:rPr>
  </w:style>
  <w:style w:type="paragraph" w:styleId="Header">
    <w:name w:val="header"/>
    <w:basedOn w:val="Normal"/>
    <w:rsid w:val="00461A21"/>
    <w:pPr>
      <w:tabs>
        <w:tab w:val="center" w:pos="4320"/>
        <w:tab w:val="right" w:pos="8640"/>
      </w:tabs>
    </w:pPr>
  </w:style>
  <w:style w:type="paragraph" w:customStyle="1" w:styleId="Am2SectionText1N">
    <w:name w:val="Am2SectionText(1)N"/>
    <w:basedOn w:val="Normal"/>
    <w:rsid w:val="00461A21"/>
    <w:pPr>
      <w:spacing w:before="120"/>
      <w:ind w:left="1152"/>
      <w:jc w:val="both"/>
    </w:pPr>
    <w:rPr>
      <w:lang w:val="en-US" w:eastAsia="zh-CN"/>
    </w:rPr>
  </w:style>
  <w:style w:type="paragraph" w:customStyle="1" w:styleId="Am2SectionTextaN">
    <w:name w:val="Am2SectionText(a)N"/>
    <w:basedOn w:val="Normal"/>
    <w:rsid w:val="00461A21"/>
    <w:pPr>
      <w:spacing w:before="120"/>
      <w:ind w:left="1627"/>
      <w:jc w:val="both"/>
    </w:pPr>
    <w:rPr>
      <w:lang w:val="en-US" w:eastAsia="zh-CN"/>
    </w:rPr>
  </w:style>
  <w:style w:type="character" w:customStyle="1" w:styleId="Am1SectionTextaChar">
    <w:name w:val="Am1SectionText(a) Char"/>
    <w:basedOn w:val="DefaultParagraphFont"/>
    <w:rsid w:val="00461A21"/>
    <w:rPr>
      <w:sz w:val="26"/>
      <w:lang w:val="en-US" w:eastAsia="en-US" w:bidi="ar-SA"/>
    </w:rPr>
  </w:style>
  <w:style w:type="character" w:customStyle="1" w:styleId="Am1SectionText1Char">
    <w:name w:val="Am1SectionText(1) Char"/>
    <w:basedOn w:val="DefaultParagraphFont"/>
    <w:rsid w:val="00461A21"/>
    <w:rPr>
      <w:sz w:val="26"/>
      <w:lang w:val="en-US" w:eastAsia="en-US" w:bidi="ar-SA"/>
    </w:rPr>
  </w:style>
  <w:style w:type="character" w:customStyle="1" w:styleId="Am1SectionHeadingChar">
    <w:name w:val="Am1SectionHeading Char"/>
    <w:basedOn w:val="DefaultParagraphFont"/>
    <w:rsid w:val="00461A21"/>
    <w:rPr>
      <w:b/>
      <w:sz w:val="26"/>
      <w:lang w:val="en-US" w:eastAsia="en-US" w:bidi="ar-SA"/>
    </w:rPr>
  </w:style>
  <w:style w:type="paragraph" w:customStyle="1" w:styleId="SectionText1">
    <w:name w:val="SectionText(1)"/>
    <w:basedOn w:val="Normal"/>
    <w:rsid w:val="00461A21"/>
    <w:pPr>
      <w:spacing w:before="120"/>
      <w:ind w:firstLine="144"/>
      <w:jc w:val="both"/>
    </w:pPr>
    <w:rPr>
      <w:lang w:val="en-US" w:eastAsia="zh-CN"/>
    </w:rPr>
  </w:style>
  <w:style w:type="character" w:customStyle="1" w:styleId="SectionText1Char">
    <w:name w:val="SectionText(1) Char"/>
    <w:basedOn w:val="DefaultParagraphFont"/>
    <w:rsid w:val="00461A21"/>
    <w:rPr>
      <w:sz w:val="26"/>
      <w:lang w:val="en-US" w:eastAsia="zh-CN" w:bidi="ar-SA"/>
    </w:rPr>
  </w:style>
  <w:style w:type="paragraph" w:customStyle="1" w:styleId="Am1SectionText1N">
    <w:name w:val="Am1SectionText(1)N"/>
    <w:basedOn w:val="Normal"/>
    <w:rsid w:val="00461A21"/>
    <w:pPr>
      <w:spacing w:before="120"/>
      <w:ind w:left="475"/>
      <w:jc w:val="both"/>
    </w:pPr>
    <w:rPr>
      <w:lang w:val="en-US" w:eastAsia="zh-CN"/>
    </w:rPr>
  </w:style>
  <w:style w:type="character" w:customStyle="1" w:styleId="Am1SectionText1NChar">
    <w:name w:val="Am1SectionText(1)N Char"/>
    <w:basedOn w:val="DefaultParagraphFont"/>
    <w:rsid w:val="00461A21"/>
    <w:rPr>
      <w:sz w:val="26"/>
      <w:lang w:val="en-US" w:eastAsia="zh-CN" w:bidi="ar-SA"/>
    </w:rPr>
  </w:style>
  <w:style w:type="paragraph" w:customStyle="1" w:styleId="ExpSectionTexta">
    <w:name w:val="ExpSectionText(a)"/>
    <w:basedOn w:val="Normal"/>
    <w:uiPriority w:val="99"/>
    <w:rsid w:val="00461A21"/>
    <w:pPr>
      <w:suppressLineNumbers/>
      <w:spacing w:before="120"/>
      <w:ind w:left="952" w:hanging="476"/>
      <w:jc w:val="both"/>
    </w:pPr>
    <w:rPr>
      <w:sz w:val="22"/>
      <w:lang w:val="en-US" w:eastAsia="zh-CN"/>
    </w:rPr>
  </w:style>
  <w:style w:type="paragraph" w:customStyle="1" w:styleId="ExpSectionText1">
    <w:name w:val="ExpSectionText(1)"/>
    <w:basedOn w:val="SectionText1"/>
    <w:rsid w:val="00461A21"/>
    <w:pPr>
      <w:suppressLineNumbers/>
      <w:ind w:firstLine="284"/>
    </w:pPr>
    <w:rPr>
      <w:sz w:val="22"/>
    </w:rPr>
  </w:style>
  <w:style w:type="paragraph" w:styleId="FootnoteText">
    <w:name w:val="footnote text"/>
    <w:basedOn w:val="Normal"/>
    <w:link w:val="FootnoteTextChar"/>
    <w:uiPriority w:val="99"/>
    <w:rsid w:val="00461A21"/>
    <w:pPr>
      <w:spacing w:before="120"/>
      <w:jc w:val="both"/>
    </w:pPr>
    <w:rPr>
      <w:sz w:val="20"/>
      <w:lang w:val="en-US" w:eastAsia="zh-CN"/>
    </w:rPr>
  </w:style>
  <w:style w:type="paragraph" w:customStyle="1" w:styleId="DefaultParagraphFontPara">
    <w:name w:val="Default Paragraph Font Para"/>
    <w:basedOn w:val="Normal"/>
    <w:rsid w:val="00461A21"/>
    <w:pPr>
      <w:spacing w:after="160" w:line="240" w:lineRule="exact"/>
    </w:pPr>
    <w:rPr>
      <w:rFonts w:ascii="Verdana" w:hAnsi="Verdana"/>
      <w:sz w:val="20"/>
      <w:lang w:val="en-US"/>
    </w:rPr>
  </w:style>
  <w:style w:type="paragraph" w:customStyle="1" w:styleId="SectionTexta">
    <w:name w:val="SectionText(a)"/>
    <w:basedOn w:val="Normal"/>
    <w:rsid w:val="00461A21"/>
    <w:pPr>
      <w:spacing w:before="120"/>
      <w:ind w:left="950" w:hanging="475"/>
      <w:jc w:val="both"/>
    </w:pPr>
    <w:rPr>
      <w:lang w:val="en-US" w:eastAsia="zh-CN"/>
    </w:rPr>
  </w:style>
  <w:style w:type="paragraph" w:customStyle="1" w:styleId="Am2SectionTexti">
    <w:name w:val="Am2SectionText(i)"/>
    <w:basedOn w:val="Am1SectionTexti"/>
    <w:rsid w:val="00461A21"/>
    <w:pPr>
      <w:tabs>
        <w:tab w:val="clear" w:pos="1829"/>
        <w:tab w:val="right" w:pos="2506"/>
      </w:tabs>
      <w:ind w:left="2592"/>
    </w:pPr>
    <w:rPr>
      <w:lang w:eastAsia="zh-CN"/>
    </w:rPr>
  </w:style>
  <w:style w:type="paragraph" w:customStyle="1" w:styleId="Am2SectionInterpretationa">
    <w:name w:val="Am2SectionInterpretation(a)"/>
    <w:basedOn w:val="Normal"/>
    <w:rsid w:val="00461A21"/>
    <w:pPr>
      <w:spacing w:before="120"/>
      <w:ind w:left="2448" w:hanging="432"/>
      <w:jc w:val="both"/>
    </w:pPr>
    <w:rPr>
      <w:lang w:val="en-US" w:eastAsia="zh-CN"/>
    </w:rPr>
  </w:style>
  <w:style w:type="paragraph" w:customStyle="1" w:styleId="Am1SectionInterpretationa">
    <w:name w:val="Am1SectionInterpretation(a)"/>
    <w:basedOn w:val="Normal"/>
    <w:rsid w:val="00461A21"/>
    <w:pPr>
      <w:spacing w:before="120"/>
      <w:ind w:left="1771" w:hanging="432"/>
      <w:jc w:val="both"/>
    </w:pPr>
    <w:rPr>
      <w:lang w:val="en-US" w:eastAsia="zh-CN"/>
    </w:rPr>
  </w:style>
  <w:style w:type="paragraph" w:customStyle="1" w:styleId="ScheduleSectionTexta">
    <w:name w:val="ScheduleSectionText(a)"/>
    <w:basedOn w:val="Normal"/>
    <w:rsid w:val="00461A21"/>
    <w:pPr>
      <w:spacing w:before="120"/>
      <w:ind w:left="950" w:hanging="475"/>
      <w:jc w:val="both"/>
    </w:pPr>
    <w:rPr>
      <w:sz w:val="22"/>
      <w:lang w:val="en-US" w:eastAsia="zh-CN"/>
    </w:rPr>
  </w:style>
  <w:style w:type="paragraph" w:customStyle="1" w:styleId="ScheduleHeading">
    <w:name w:val="ScheduleHeading"/>
    <w:basedOn w:val="Normal"/>
    <w:rsid w:val="00461A21"/>
    <w:pPr>
      <w:keepNext/>
      <w:keepLines/>
      <w:spacing w:before="360" w:after="360"/>
      <w:jc w:val="center"/>
    </w:pPr>
    <w:rPr>
      <w:caps/>
      <w:lang w:val="en-US" w:eastAsia="zh-CN"/>
    </w:rPr>
  </w:style>
  <w:style w:type="paragraph" w:customStyle="1" w:styleId="ScheduleRef">
    <w:name w:val="ScheduleRef"/>
    <w:basedOn w:val="Normal"/>
    <w:rsid w:val="00461A21"/>
    <w:pPr>
      <w:keepNext/>
      <w:keepLines/>
      <w:ind w:left="4320"/>
      <w:jc w:val="right"/>
    </w:pPr>
    <w:rPr>
      <w:sz w:val="18"/>
      <w:lang w:val="en-US" w:eastAsia="zh-CN"/>
    </w:rPr>
  </w:style>
  <w:style w:type="paragraph" w:customStyle="1" w:styleId="ScheduleSectionText1">
    <w:name w:val="ScheduleSectionText(1)"/>
    <w:basedOn w:val="Normal"/>
    <w:rsid w:val="00461A21"/>
    <w:pPr>
      <w:spacing w:before="120"/>
      <w:ind w:firstLine="144"/>
      <w:jc w:val="both"/>
    </w:pPr>
    <w:rPr>
      <w:sz w:val="22"/>
      <w:lang w:val="en-US" w:eastAsia="zh-CN"/>
    </w:rPr>
  </w:style>
  <w:style w:type="paragraph" w:customStyle="1" w:styleId="ScheduleDivisionHeading1">
    <w:name w:val="ScheduleDivisionHeading1"/>
    <w:basedOn w:val="Normal"/>
    <w:rsid w:val="00461A21"/>
    <w:pPr>
      <w:keepNext/>
      <w:keepLines/>
      <w:suppressAutoHyphens/>
      <w:spacing w:before="240" w:after="120"/>
      <w:jc w:val="center"/>
    </w:pPr>
    <w:rPr>
      <w:caps/>
      <w:sz w:val="22"/>
      <w:lang w:val="en-US" w:eastAsia="zh-CN"/>
    </w:rPr>
  </w:style>
  <w:style w:type="paragraph" w:styleId="BodyTextIndent">
    <w:name w:val="Body Text Indent"/>
    <w:basedOn w:val="Normal"/>
    <w:rsid w:val="00461A21"/>
    <w:pPr>
      <w:spacing w:before="100" w:beforeAutospacing="1" w:after="100" w:afterAutospacing="1"/>
      <w:ind w:left="162"/>
    </w:pPr>
    <w:rPr>
      <w:b/>
      <w:bCs/>
      <w:color w:val="FF0000"/>
    </w:rPr>
  </w:style>
  <w:style w:type="paragraph" w:styleId="BodyText2">
    <w:name w:val="Body Text 2"/>
    <w:basedOn w:val="Normal"/>
    <w:link w:val="BodyText2Char"/>
    <w:rsid w:val="00461A21"/>
    <w:rPr>
      <w:rFonts w:eastAsia="SimSun"/>
      <w:strike/>
      <w:color w:val="FF0000"/>
      <w:sz w:val="24"/>
      <w:szCs w:val="24"/>
      <w:lang w:eastAsia="zh-CN"/>
    </w:rPr>
  </w:style>
  <w:style w:type="paragraph" w:styleId="BodyTextIndent2">
    <w:name w:val="Body Text Indent 2"/>
    <w:basedOn w:val="Normal"/>
    <w:rsid w:val="00461A21"/>
    <w:pPr>
      <w:pBdr>
        <w:left w:val="single" w:sz="4" w:space="4" w:color="auto"/>
      </w:pBdr>
      <w:ind w:left="162"/>
    </w:pPr>
    <w:rPr>
      <w:color w:val="0000FF"/>
      <w:sz w:val="24"/>
      <w:szCs w:val="24"/>
    </w:rPr>
  </w:style>
  <w:style w:type="paragraph" w:styleId="BodyText3">
    <w:name w:val="Body Text 3"/>
    <w:basedOn w:val="Normal"/>
    <w:rsid w:val="00461A21"/>
    <w:pPr>
      <w:pBdr>
        <w:left w:val="single" w:sz="4" w:space="4" w:color="auto"/>
      </w:pBdr>
    </w:pPr>
    <w:rPr>
      <w:color w:val="0000FF"/>
      <w:sz w:val="24"/>
      <w:szCs w:val="24"/>
    </w:rPr>
  </w:style>
  <w:style w:type="paragraph" w:styleId="BodyTextIndent3">
    <w:name w:val="Body Text Indent 3"/>
    <w:basedOn w:val="Normal"/>
    <w:rsid w:val="00461A21"/>
    <w:pPr>
      <w:pBdr>
        <w:left w:val="single" w:sz="4" w:space="4" w:color="auto"/>
      </w:pBdr>
      <w:ind w:left="162"/>
    </w:pPr>
    <w:rPr>
      <w:color w:val="0000FF"/>
    </w:rPr>
  </w:style>
  <w:style w:type="paragraph" w:customStyle="1" w:styleId="LineThinBottom">
    <w:name w:val="LineThinBottom"/>
    <w:basedOn w:val="Normal"/>
    <w:rsid w:val="00461A21"/>
    <w:pPr>
      <w:pBdr>
        <w:bottom w:val="single" w:sz="6" w:space="1" w:color="auto"/>
      </w:pBdr>
      <w:spacing w:line="60" w:lineRule="exact"/>
      <w:jc w:val="both"/>
    </w:pPr>
    <w:rPr>
      <w:lang w:val="en-US" w:eastAsia="zh-CN"/>
    </w:rPr>
  </w:style>
  <w:style w:type="paragraph" w:customStyle="1" w:styleId="PreambleActBillNumber">
    <w:name w:val="PreambleActBillNumber"/>
    <w:basedOn w:val="Normal"/>
    <w:next w:val="Normal"/>
    <w:rsid w:val="00461A21"/>
    <w:pPr>
      <w:keepNext/>
      <w:keepLines/>
      <w:spacing w:before="360" w:after="240"/>
      <w:ind w:left="1440" w:right="1440"/>
      <w:jc w:val="center"/>
    </w:pPr>
    <w:rPr>
      <w:b/>
      <w:lang w:val="en-US" w:eastAsia="zh-CN"/>
    </w:rPr>
  </w:style>
  <w:style w:type="paragraph" w:styleId="BalloonText">
    <w:name w:val="Balloon Text"/>
    <w:basedOn w:val="Normal"/>
    <w:link w:val="BalloonTextChar"/>
    <w:uiPriority w:val="99"/>
    <w:semiHidden/>
    <w:unhideWhenUsed/>
    <w:rsid w:val="00B93AD8"/>
    <w:rPr>
      <w:rFonts w:ascii="Tahoma" w:hAnsi="Tahoma" w:cs="Tahoma"/>
      <w:sz w:val="16"/>
      <w:szCs w:val="16"/>
    </w:rPr>
  </w:style>
  <w:style w:type="character" w:customStyle="1" w:styleId="BalloonTextChar">
    <w:name w:val="Balloon Text Char"/>
    <w:basedOn w:val="DefaultParagraphFont"/>
    <w:link w:val="BalloonText"/>
    <w:uiPriority w:val="99"/>
    <w:semiHidden/>
    <w:rsid w:val="00B93AD8"/>
    <w:rPr>
      <w:rFonts w:ascii="Tahoma" w:hAnsi="Tahoma" w:cs="Tahoma"/>
      <w:sz w:val="16"/>
      <w:szCs w:val="16"/>
      <w:lang w:val="en-GB"/>
    </w:rPr>
  </w:style>
  <w:style w:type="table" w:styleId="TableGrid">
    <w:name w:val="Table Grid"/>
    <w:basedOn w:val="TableNormal"/>
    <w:uiPriority w:val="59"/>
    <w:rsid w:val="00285F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135D9"/>
    <w:rPr>
      <w:sz w:val="26"/>
      <w:lang w:eastAsia="en-US"/>
    </w:rPr>
  </w:style>
  <w:style w:type="paragraph" w:styleId="NoSpacing">
    <w:name w:val="No Spacing"/>
    <w:uiPriority w:val="1"/>
    <w:qFormat/>
    <w:rsid w:val="00D135D9"/>
    <w:rPr>
      <w:sz w:val="26"/>
      <w:lang w:eastAsia="en-US"/>
    </w:rPr>
  </w:style>
  <w:style w:type="character" w:styleId="Hyperlink">
    <w:name w:val="Hyperlink"/>
    <w:basedOn w:val="DefaultParagraphFont"/>
    <w:uiPriority w:val="99"/>
    <w:unhideWhenUsed/>
    <w:rsid w:val="00A03251"/>
    <w:rPr>
      <w:strike w:val="0"/>
      <w:dstrike w:val="0"/>
      <w:color w:val="336699"/>
      <w:u w:val="none"/>
      <w:effect w:val="none"/>
    </w:rPr>
  </w:style>
  <w:style w:type="character" w:customStyle="1" w:styleId="currenttocitem">
    <w:name w:val="currenttocitem"/>
    <w:basedOn w:val="DefaultParagraphFont"/>
    <w:rsid w:val="00CD4624"/>
    <w:rPr>
      <w:color w:val="987654"/>
      <w:u w:val="single"/>
    </w:rPr>
  </w:style>
  <w:style w:type="character" w:customStyle="1" w:styleId="BodyTextChar">
    <w:name w:val="Body Text Char"/>
    <w:basedOn w:val="DefaultParagraphFont"/>
    <w:link w:val="BodyText"/>
    <w:rsid w:val="00B2206B"/>
    <w:rPr>
      <w:strike/>
      <w:sz w:val="24"/>
      <w:lang w:eastAsia="en-US"/>
    </w:rPr>
  </w:style>
  <w:style w:type="paragraph" w:styleId="ListParagraph">
    <w:name w:val="List Paragraph"/>
    <w:basedOn w:val="Normal"/>
    <w:link w:val="ListParagraphChar"/>
    <w:uiPriority w:val="34"/>
    <w:qFormat/>
    <w:rsid w:val="00B3142C"/>
    <w:pPr>
      <w:ind w:left="720"/>
      <w:contextualSpacing/>
    </w:pPr>
  </w:style>
  <w:style w:type="paragraph" w:styleId="CommentText">
    <w:name w:val="annotation text"/>
    <w:basedOn w:val="Normal"/>
    <w:link w:val="CommentTextChar"/>
    <w:uiPriority w:val="99"/>
    <w:unhideWhenUsed/>
    <w:rsid w:val="00453668"/>
    <w:rPr>
      <w:sz w:val="20"/>
    </w:rPr>
  </w:style>
  <w:style w:type="character" w:customStyle="1" w:styleId="CommentTextChar">
    <w:name w:val="Comment Text Char"/>
    <w:basedOn w:val="DefaultParagraphFont"/>
    <w:link w:val="CommentText"/>
    <w:uiPriority w:val="99"/>
    <w:rsid w:val="00453668"/>
    <w:rPr>
      <w:lang w:eastAsia="en-US"/>
    </w:rPr>
  </w:style>
  <w:style w:type="character" w:styleId="CommentReference">
    <w:name w:val="annotation reference"/>
    <w:basedOn w:val="DefaultParagraphFont"/>
    <w:uiPriority w:val="99"/>
    <w:semiHidden/>
    <w:unhideWhenUsed/>
    <w:rsid w:val="00B17258"/>
    <w:rPr>
      <w:sz w:val="16"/>
      <w:szCs w:val="16"/>
    </w:rPr>
  </w:style>
  <w:style w:type="paragraph" w:styleId="CommentSubject">
    <w:name w:val="annotation subject"/>
    <w:basedOn w:val="CommentText"/>
    <w:next w:val="CommentText"/>
    <w:link w:val="CommentSubjectChar"/>
    <w:uiPriority w:val="99"/>
    <w:semiHidden/>
    <w:unhideWhenUsed/>
    <w:rsid w:val="00B17258"/>
    <w:rPr>
      <w:b/>
      <w:bCs/>
    </w:rPr>
  </w:style>
  <w:style w:type="character" w:customStyle="1" w:styleId="CommentSubjectChar">
    <w:name w:val="Comment Subject Char"/>
    <w:basedOn w:val="CommentTextChar"/>
    <w:link w:val="CommentSubject"/>
    <w:uiPriority w:val="99"/>
    <w:semiHidden/>
    <w:rsid w:val="00B17258"/>
    <w:rPr>
      <w:b/>
      <w:bCs/>
      <w:lang w:eastAsia="en-US"/>
    </w:rPr>
  </w:style>
  <w:style w:type="character" w:styleId="FootnoteReference">
    <w:name w:val="footnote reference"/>
    <w:basedOn w:val="DefaultParagraphFont"/>
    <w:uiPriority w:val="99"/>
    <w:semiHidden/>
    <w:unhideWhenUsed/>
    <w:rsid w:val="000D506F"/>
    <w:rPr>
      <w:vertAlign w:val="superscript"/>
    </w:rPr>
  </w:style>
  <w:style w:type="character" w:customStyle="1" w:styleId="FootnoteTextChar">
    <w:name w:val="Footnote Text Char"/>
    <w:basedOn w:val="DefaultParagraphFont"/>
    <w:link w:val="FootnoteText"/>
    <w:uiPriority w:val="99"/>
    <w:rsid w:val="00157C67"/>
    <w:rPr>
      <w:lang w:val="en-US"/>
    </w:rPr>
  </w:style>
  <w:style w:type="paragraph" w:styleId="Revision">
    <w:name w:val="Revision"/>
    <w:hidden/>
    <w:uiPriority w:val="99"/>
    <w:semiHidden/>
    <w:rsid w:val="00CF5A86"/>
    <w:rPr>
      <w:sz w:val="26"/>
      <w:lang w:eastAsia="en-US"/>
    </w:rPr>
  </w:style>
  <w:style w:type="character" w:customStyle="1" w:styleId="ListParagraphChar">
    <w:name w:val="List Paragraph Char"/>
    <w:basedOn w:val="DefaultParagraphFont"/>
    <w:link w:val="ListParagraph"/>
    <w:uiPriority w:val="34"/>
    <w:rsid w:val="002969F1"/>
    <w:rPr>
      <w:sz w:val="26"/>
      <w:lang w:eastAsia="en-US"/>
    </w:rPr>
  </w:style>
  <w:style w:type="character" w:customStyle="1" w:styleId="BodyText2Char">
    <w:name w:val="Body Text 2 Char"/>
    <w:basedOn w:val="DefaultParagraphFont"/>
    <w:link w:val="BodyText2"/>
    <w:rsid w:val="00852CA1"/>
    <w:rPr>
      <w:rFonts w:eastAsia="SimSun"/>
      <w:strike/>
      <w:color w:val="FF0000"/>
      <w:sz w:val="24"/>
      <w:szCs w:val="24"/>
    </w:rPr>
  </w:style>
  <w:style w:type="paragraph" w:customStyle="1" w:styleId="ClientNotes">
    <w:name w:val="ClientNotes"/>
    <w:qFormat/>
    <w:rsid w:val="00A947D4"/>
    <w:pPr>
      <w:adjustRightInd w:val="0"/>
      <w:spacing w:after="120"/>
    </w:pPr>
    <w:rPr>
      <w:rFonts w:ascii="Arial" w:eastAsia="MS Mincho" w:hAnsi="Arial"/>
      <w:i/>
      <w:color w:val="008000"/>
      <w:lang w:eastAsia="ja-JP" w:bidi="ta-IN"/>
    </w:rPr>
  </w:style>
  <w:style w:type="paragraph" w:customStyle="1" w:styleId="Default">
    <w:name w:val="Default"/>
    <w:rsid w:val="00F51A2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5585762">
      <w:bodyDiv w:val="1"/>
      <w:marLeft w:val="0"/>
      <w:marRight w:val="0"/>
      <w:marTop w:val="0"/>
      <w:marBottom w:val="0"/>
      <w:divBdr>
        <w:top w:val="none" w:sz="0" w:space="0" w:color="auto"/>
        <w:left w:val="none" w:sz="0" w:space="0" w:color="auto"/>
        <w:bottom w:val="none" w:sz="0" w:space="0" w:color="auto"/>
        <w:right w:val="none" w:sz="0" w:space="0" w:color="auto"/>
      </w:divBdr>
    </w:div>
    <w:div w:id="483547723">
      <w:bodyDiv w:val="1"/>
      <w:marLeft w:val="0"/>
      <w:marRight w:val="0"/>
      <w:marTop w:val="0"/>
      <w:marBottom w:val="0"/>
      <w:divBdr>
        <w:top w:val="none" w:sz="0" w:space="0" w:color="auto"/>
        <w:left w:val="none" w:sz="0" w:space="0" w:color="auto"/>
        <w:bottom w:val="none" w:sz="0" w:space="0" w:color="auto"/>
        <w:right w:val="none" w:sz="0" w:space="0" w:color="auto"/>
      </w:divBdr>
      <w:divsChild>
        <w:div w:id="321348215">
          <w:marLeft w:val="0"/>
          <w:marRight w:val="0"/>
          <w:marTop w:val="0"/>
          <w:marBottom w:val="0"/>
          <w:divBdr>
            <w:top w:val="none" w:sz="0" w:space="0" w:color="auto"/>
            <w:left w:val="none" w:sz="0" w:space="0" w:color="auto"/>
            <w:bottom w:val="none" w:sz="0" w:space="0" w:color="auto"/>
            <w:right w:val="none" w:sz="0" w:space="0" w:color="auto"/>
          </w:divBdr>
          <w:divsChild>
            <w:div w:id="1888056846">
              <w:marLeft w:val="0"/>
              <w:marRight w:val="0"/>
              <w:marTop w:val="0"/>
              <w:marBottom w:val="0"/>
              <w:divBdr>
                <w:top w:val="none" w:sz="0" w:space="0" w:color="auto"/>
                <w:left w:val="none" w:sz="0" w:space="0" w:color="auto"/>
                <w:bottom w:val="none" w:sz="0" w:space="0" w:color="auto"/>
                <w:right w:val="none" w:sz="0" w:space="0" w:color="auto"/>
              </w:divBdr>
              <w:divsChild>
                <w:div w:id="1567645622">
                  <w:marLeft w:val="0"/>
                  <w:marRight w:val="0"/>
                  <w:marTop w:val="0"/>
                  <w:marBottom w:val="0"/>
                  <w:divBdr>
                    <w:top w:val="none" w:sz="0" w:space="0" w:color="auto"/>
                    <w:left w:val="none" w:sz="0" w:space="0" w:color="auto"/>
                    <w:bottom w:val="none" w:sz="0" w:space="0" w:color="auto"/>
                    <w:right w:val="none" w:sz="0" w:space="0" w:color="auto"/>
                  </w:divBdr>
                  <w:divsChild>
                    <w:div w:id="2085226072">
                      <w:marLeft w:val="0"/>
                      <w:marRight w:val="75"/>
                      <w:marTop w:val="0"/>
                      <w:marBottom w:val="1500"/>
                      <w:divBdr>
                        <w:top w:val="none" w:sz="0" w:space="0" w:color="auto"/>
                        <w:left w:val="none" w:sz="0" w:space="0" w:color="auto"/>
                        <w:bottom w:val="none" w:sz="0" w:space="0" w:color="auto"/>
                        <w:right w:val="none" w:sz="0" w:space="0" w:color="auto"/>
                      </w:divBdr>
                      <w:divsChild>
                        <w:div w:id="1272130052">
                          <w:marLeft w:val="0"/>
                          <w:marRight w:val="0"/>
                          <w:marTop w:val="288"/>
                          <w:marBottom w:val="0"/>
                          <w:divBdr>
                            <w:top w:val="none" w:sz="0" w:space="0" w:color="auto"/>
                            <w:left w:val="none" w:sz="0" w:space="0" w:color="auto"/>
                            <w:bottom w:val="none" w:sz="0" w:space="0" w:color="auto"/>
                            <w:right w:val="none" w:sz="0" w:space="0" w:color="auto"/>
                          </w:divBdr>
                          <w:divsChild>
                            <w:div w:id="610431693">
                              <w:marLeft w:val="0"/>
                              <w:marRight w:val="0"/>
                              <w:marTop w:val="0"/>
                              <w:marBottom w:val="0"/>
                              <w:divBdr>
                                <w:top w:val="none" w:sz="0" w:space="0" w:color="auto"/>
                                <w:left w:val="none" w:sz="0" w:space="0" w:color="auto"/>
                                <w:bottom w:val="none" w:sz="0" w:space="0" w:color="auto"/>
                                <w:right w:val="none" w:sz="0" w:space="0" w:color="auto"/>
                              </w:divBdr>
                              <w:divsChild>
                                <w:div w:id="239098814">
                                  <w:marLeft w:val="0"/>
                                  <w:marRight w:val="0"/>
                                  <w:marTop w:val="0"/>
                                  <w:marBottom w:val="0"/>
                                  <w:divBdr>
                                    <w:top w:val="none" w:sz="0" w:space="0" w:color="auto"/>
                                    <w:left w:val="none" w:sz="0" w:space="0" w:color="auto"/>
                                    <w:bottom w:val="none" w:sz="0" w:space="0" w:color="auto"/>
                                    <w:right w:val="none" w:sz="0" w:space="0" w:color="auto"/>
                                  </w:divBdr>
                                  <w:divsChild>
                                    <w:div w:id="714544320">
                                      <w:marLeft w:val="0"/>
                                      <w:marRight w:val="0"/>
                                      <w:marTop w:val="144"/>
                                      <w:marBottom w:val="0"/>
                                      <w:divBdr>
                                        <w:top w:val="none" w:sz="0" w:space="0" w:color="auto"/>
                                        <w:left w:val="none" w:sz="0" w:space="0" w:color="auto"/>
                                        <w:bottom w:val="none" w:sz="0" w:space="0" w:color="auto"/>
                                        <w:right w:val="none" w:sz="0" w:space="0" w:color="auto"/>
                                      </w:divBdr>
                                      <w:divsChild>
                                        <w:div w:id="2096003181">
                                          <w:marLeft w:val="0"/>
                                          <w:marRight w:val="0"/>
                                          <w:marTop w:val="144"/>
                                          <w:marBottom w:val="0"/>
                                          <w:divBdr>
                                            <w:top w:val="none" w:sz="0" w:space="0" w:color="auto"/>
                                            <w:left w:val="none" w:sz="0" w:space="0" w:color="auto"/>
                                            <w:bottom w:val="none" w:sz="0" w:space="0" w:color="auto"/>
                                            <w:right w:val="none" w:sz="0" w:space="0" w:color="auto"/>
                                          </w:divBdr>
                                          <w:divsChild>
                                            <w:div w:id="852308175">
                                              <w:marLeft w:val="0"/>
                                              <w:marRight w:val="0"/>
                                              <w:marTop w:val="144"/>
                                              <w:marBottom w:val="0"/>
                                              <w:divBdr>
                                                <w:top w:val="none" w:sz="0" w:space="0" w:color="auto"/>
                                                <w:left w:val="none" w:sz="0" w:space="0" w:color="auto"/>
                                                <w:bottom w:val="none" w:sz="0" w:space="0" w:color="auto"/>
                                                <w:right w:val="none" w:sz="0" w:space="0" w:color="auto"/>
                                              </w:divBdr>
                                              <w:divsChild>
                                                <w:div w:id="179328538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89267">
      <w:bodyDiv w:val="1"/>
      <w:marLeft w:val="0"/>
      <w:marRight w:val="0"/>
      <w:marTop w:val="0"/>
      <w:marBottom w:val="0"/>
      <w:divBdr>
        <w:top w:val="none" w:sz="0" w:space="0" w:color="auto"/>
        <w:left w:val="none" w:sz="0" w:space="0" w:color="auto"/>
        <w:bottom w:val="none" w:sz="0" w:space="0" w:color="auto"/>
        <w:right w:val="none" w:sz="0" w:space="0" w:color="auto"/>
      </w:divBdr>
      <w:divsChild>
        <w:div w:id="228730496">
          <w:marLeft w:val="0"/>
          <w:marRight w:val="0"/>
          <w:marTop w:val="0"/>
          <w:marBottom w:val="0"/>
          <w:divBdr>
            <w:top w:val="none" w:sz="0" w:space="0" w:color="auto"/>
            <w:left w:val="none" w:sz="0" w:space="0" w:color="auto"/>
            <w:bottom w:val="none" w:sz="0" w:space="0" w:color="auto"/>
            <w:right w:val="none" w:sz="0" w:space="0" w:color="auto"/>
          </w:divBdr>
          <w:divsChild>
            <w:div w:id="894851359">
              <w:marLeft w:val="0"/>
              <w:marRight w:val="0"/>
              <w:marTop w:val="0"/>
              <w:marBottom w:val="0"/>
              <w:divBdr>
                <w:top w:val="none" w:sz="0" w:space="0" w:color="auto"/>
                <w:left w:val="none" w:sz="0" w:space="0" w:color="auto"/>
                <w:bottom w:val="none" w:sz="0" w:space="0" w:color="auto"/>
                <w:right w:val="none" w:sz="0" w:space="0" w:color="auto"/>
              </w:divBdr>
              <w:divsChild>
                <w:div w:id="272516803">
                  <w:marLeft w:val="0"/>
                  <w:marRight w:val="0"/>
                  <w:marTop w:val="0"/>
                  <w:marBottom w:val="0"/>
                  <w:divBdr>
                    <w:top w:val="none" w:sz="0" w:space="0" w:color="auto"/>
                    <w:left w:val="none" w:sz="0" w:space="0" w:color="auto"/>
                    <w:bottom w:val="none" w:sz="0" w:space="0" w:color="auto"/>
                    <w:right w:val="none" w:sz="0" w:space="0" w:color="auto"/>
                  </w:divBdr>
                  <w:divsChild>
                    <w:div w:id="1262496131">
                      <w:marLeft w:val="0"/>
                      <w:marRight w:val="75"/>
                      <w:marTop w:val="0"/>
                      <w:marBottom w:val="1500"/>
                      <w:divBdr>
                        <w:top w:val="none" w:sz="0" w:space="0" w:color="auto"/>
                        <w:left w:val="none" w:sz="0" w:space="0" w:color="auto"/>
                        <w:bottom w:val="none" w:sz="0" w:space="0" w:color="auto"/>
                        <w:right w:val="none" w:sz="0" w:space="0" w:color="auto"/>
                      </w:divBdr>
                      <w:divsChild>
                        <w:div w:id="1902977929">
                          <w:marLeft w:val="0"/>
                          <w:marRight w:val="0"/>
                          <w:marTop w:val="0"/>
                          <w:marBottom w:val="0"/>
                          <w:divBdr>
                            <w:top w:val="none" w:sz="0" w:space="0" w:color="auto"/>
                            <w:left w:val="none" w:sz="0" w:space="0" w:color="auto"/>
                            <w:bottom w:val="none" w:sz="0" w:space="0" w:color="auto"/>
                            <w:right w:val="none" w:sz="0" w:space="0" w:color="auto"/>
                          </w:divBdr>
                          <w:divsChild>
                            <w:div w:id="1056509232">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86923">
      <w:bodyDiv w:val="1"/>
      <w:marLeft w:val="0"/>
      <w:marRight w:val="0"/>
      <w:marTop w:val="0"/>
      <w:marBottom w:val="0"/>
      <w:divBdr>
        <w:top w:val="none" w:sz="0" w:space="0" w:color="auto"/>
        <w:left w:val="none" w:sz="0" w:space="0" w:color="auto"/>
        <w:bottom w:val="none" w:sz="0" w:space="0" w:color="auto"/>
        <w:right w:val="none" w:sz="0" w:space="0" w:color="auto"/>
      </w:divBdr>
    </w:div>
    <w:div w:id="859589882">
      <w:bodyDiv w:val="1"/>
      <w:marLeft w:val="0"/>
      <w:marRight w:val="0"/>
      <w:marTop w:val="0"/>
      <w:marBottom w:val="0"/>
      <w:divBdr>
        <w:top w:val="none" w:sz="0" w:space="0" w:color="auto"/>
        <w:left w:val="none" w:sz="0" w:space="0" w:color="auto"/>
        <w:bottom w:val="none" w:sz="0" w:space="0" w:color="auto"/>
        <w:right w:val="none" w:sz="0" w:space="0" w:color="auto"/>
      </w:divBdr>
    </w:div>
    <w:div w:id="869533134">
      <w:bodyDiv w:val="1"/>
      <w:marLeft w:val="0"/>
      <w:marRight w:val="0"/>
      <w:marTop w:val="0"/>
      <w:marBottom w:val="0"/>
      <w:divBdr>
        <w:top w:val="none" w:sz="0" w:space="0" w:color="auto"/>
        <w:left w:val="none" w:sz="0" w:space="0" w:color="auto"/>
        <w:bottom w:val="none" w:sz="0" w:space="0" w:color="auto"/>
        <w:right w:val="none" w:sz="0" w:space="0" w:color="auto"/>
      </w:divBdr>
    </w:div>
    <w:div w:id="888028788">
      <w:bodyDiv w:val="1"/>
      <w:marLeft w:val="0"/>
      <w:marRight w:val="0"/>
      <w:marTop w:val="0"/>
      <w:marBottom w:val="0"/>
      <w:divBdr>
        <w:top w:val="none" w:sz="0" w:space="0" w:color="auto"/>
        <w:left w:val="none" w:sz="0" w:space="0" w:color="auto"/>
        <w:bottom w:val="none" w:sz="0" w:space="0" w:color="auto"/>
        <w:right w:val="none" w:sz="0" w:space="0" w:color="auto"/>
      </w:divBdr>
      <w:divsChild>
        <w:div w:id="1740397839">
          <w:marLeft w:val="0"/>
          <w:marRight w:val="0"/>
          <w:marTop w:val="0"/>
          <w:marBottom w:val="0"/>
          <w:divBdr>
            <w:top w:val="none" w:sz="0" w:space="0" w:color="auto"/>
            <w:left w:val="none" w:sz="0" w:space="0" w:color="auto"/>
            <w:bottom w:val="none" w:sz="0" w:space="0" w:color="auto"/>
            <w:right w:val="none" w:sz="0" w:space="0" w:color="auto"/>
          </w:divBdr>
          <w:divsChild>
            <w:div w:id="1588999565">
              <w:marLeft w:val="0"/>
              <w:marRight w:val="0"/>
              <w:marTop w:val="0"/>
              <w:marBottom w:val="0"/>
              <w:divBdr>
                <w:top w:val="none" w:sz="0" w:space="0" w:color="auto"/>
                <w:left w:val="none" w:sz="0" w:space="0" w:color="auto"/>
                <w:bottom w:val="none" w:sz="0" w:space="0" w:color="auto"/>
                <w:right w:val="none" w:sz="0" w:space="0" w:color="auto"/>
              </w:divBdr>
              <w:divsChild>
                <w:div w:id="1559130262">
                  <w:marLeft w:val="0"/>
                  <w:marRight w:val="0"/>
                  <w:marTop w:val="0"/>
                  <w:marBottom w:val="0"/>
                  <w:divBdr>
                    <w:top w:val="none" w:sz="0" w:space="0" w:color="auto"/>
                    <w:left w:val="none" w:sz="0" w:space="0" w:color="auto"/>
                    <w:bottom w:val="none" w:sz="0" w:space="0" w:color="auto"/>
                    <w:right w:val="none" w:sz="0" w:space="0" w:color="auto"/>
                  </w:divBdr>
                  <w:divsChild>
                    <w:div w:id="515923420">
                      <w:marLeft w:val="0"/>
                      <w:marRight w:val="75"/>
                      <w:marTop w:val="0"/>
                      <w:marBottom w:val="1500"/>
                      <w:divBdr>
                        <w:top w:val="none" w:sz="0" w:space="0" w:color="auto"/>
                        <w:left w:val="none" w:sz="0" w:space="0" w:color="auto"/>
                        <w:bottom w:val="none" w:sz="0" w:space="0" w:color="auto"/>
                        <w:right w:val="none" w:sz="0" w:space="0" w:color="auto"/>
                      </w:divBdr>
                      <w:divsChild>
                        <w:div w:id="303778348">
                          <w:marLeft w:val="0"/>
                          <w:marRight w:val="0"/>
                          <w:marTop w:val="288"/>
                          <w:marBottom w:val="0"/>
                          <w:divBdr>
                            <w:top w:val="none" w:sz="0" w:space="0" w:color="auto"/>
                            <w:left w:val="none" w:sz="0" w:space="0" w:color="auto"/>
                            <w:bottom w:val="none" w:sz="0" w:space="0" w:color="auto"/>
                            <w:right w:val="none" w:sz="0" w:space="0" w:color="auto"/>
                          </w:divBdr>
                          <w:divsChild>
                            <w:div w:id="462575883">
                              <w:marLeft w:val="0"/>
                              <w:marRight w:val="0"/>
                              <w:marTop w:val="0"/>
                              <w:marBottom w:val="0"/>
                              <w:divBdr>
                                <w:top w:val="none" w:sz="0" w:space="0" w:color="auto"/>
                                <w:left w:val="none" w:sz="0" w:space="0" w:color="auto"/>
                                <w:bottom w:val="none" w:sz="0" w:space="0" w:color="auto"/>
                                <w:right w:val="none" w:sz="0" w:space="0" w:color="auto"/>
                              </w:divBdr>
                              <w:divsChild>
                                <w:div w:id="2037390115">
                                  <w:marLeft w:val="0"/>
                                  <w:marRight w:val="0"/>
                                  <w:marTop w:val="0"/>
                                  <w:marBottom w:val="0"/>
                                  <w:divBdr>
                                    <w:top w:val="none" w:sz="0" w:space="0" w:color="auto"/>
                                    <w:left w:val="none" w:sz="0" w:space="0" w:color="auto"/>
                                    <w:bottom w:val="none" w:sz="0" w:space="0" w:color="auto"/>
                                    <w:right w:val="none" w:sz="0" w:space="0" w:color="auto"/>
                                  </w:divBdr>
                                  <w:divsChild>
                                    <w:div w:id="2017998381">
                                      <w:marLeft w:val="0"/>
                                      <w:marRight w:val="0"/>
                                      <w:marTop w:val="144"/>
                                      <w:marBottom w:val="0"/>
                                      <w:divBdr>
                                        <w:top w:val="none" w:sz="0" w:space="0" w:color="auto"/>
                                        <w:left w:val="none" w:sz="0" w:space="0" w:color="auto"/>
                                        <w:bottom w:val="none" w:sz="0" w:space="0" w:color="auto"/>
                                        <w:right w:val="none" w:sz="0" w:space="0" w:color="auto"/>
                                      </w:divBdr>
                                      <w:divsChild>
                                        <w:div w:id="2056005498">
                                          <w:marLeft w:val="0"/>
                                          <w:marRight w:val="0"/>
                                          <w:marTop w:val="144"/>
                                          <w:marBottom w:val="0"/>
                                          <w:divBdr>
                                            <w:top w:val="none" w:sz="0" w:space="0" w:color="auto"/>
                                            <w:left w:val="none" w:sz="0" w:space="0" w:color="auto"/>
                                            <w:bottom w:val="none" w:sz="0" w:space="0" w:color="auto"/>
                                            <w:right w:val="none" w:sz="0" w:space="0" w:color="auto"/>
                                          </w:divBdr>
                                          <w:divsChild>
                                            <w:div w:id="1513376800">
                                              <w:marLeft w:val="0"/>
                                              <w:marRight w:val="0"/>
                                              <w:marTop w:val="144"/>
                                              <w:marBottom w:val="0"/>
                                              <w:divBdr>
                                                <w:top w:val="none" w:sz="0" w:space="0" w:color="auto"/>
                                                <w:left w:val="none" w:sz="0" w:space="0" w:color="auto"/>
                                                <w:bottom w:val="none" w:sz="0" w:space="0" w:color="auto"/>
                                                <w:right w:val="none" w:sz="0" w:space="0" w:color="auto"/>
                                              </w:divBdr>
                                              <w:divsChild>
                                                <w:div w:id="100921461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695135">
      <w:bodyDiv w:val="1"/>
      <w:marLeft w:val="0"/>
      <w:marRight w:val="0"/>
      <w:marTop w:val="0"/>
      <w:marBottom w:val="0"/>
      <w:divBdr>
        <w:top w:val="none" w:sz="0" w:space="0" w:color="auto"/>
        <w:left w:val="none" w:sz="0" w:space="0" w:color="auto"/>
        <w:bottom w:val="none" w:sz="0" w:space="0" w:color="auto"/>
        <w:right w:val="none" w:sz="0" w:space="0" w:color="auto"/>
      </w:divBdr>
    </w:div>
    <w:div w:id="1030491353">
      <w:bodyDiv w:val="1"/>
      <w:marLeft w:val="0"/>
      <w:marRight w:val="0"/>
      <w:marTop w:val="0"/>
      <w:marBottom w:val="0"/>
      <w:divBdr>
        <w:top w:val="none" w:sz="0" w:space="0" w:color="auto"/>
        <w:left w:val="none" w:sz="0" w:space="0" w:color="auto"/>
        <w:bottom w:val="none" w:sz="0" w:space="0" w:color="auto"/>
        <w:right w:val="none" w:sz="0" w:space="0" w:color="auto"/>
      </w:divBdr>
    </w:div>
    <w:div w:id="1092627237">
      <w:bodyDiv w:val="1"/>
      <w:marLeft w:val="0"/>
      <w:marRight w:val="0"/>
      <w:marTop w:val="0"/>
      <w:marBottom w:val="0"/>
      <w:divBdr>
        <w:top w:val="none" w:sz="0" w:space="0" w:color="auto"/>
        <w:left w:val="none" w:sz="0" w:space="0" w:color="auto"/>
        <w:bottom w:val="none" w:sz="0" w:space="0" w:color="auto"/>
        <w:right w:val="none" w:sz="0" w:space="0" w:color="auto"/>
      </w:divBdr>
      <w:divsChild>
        <w:div w:id="1403064116">
          <w:marLeft w:val="0"/>
          <w:marRight w:val="0"/>
          <w:marTop w:val="0"/>
          <w:marBottom w:val="0"/>
          <w:divBdr>
            <w:top w:val="none" w:sz="0" w:space="0" w:color="auto"/>
            <w:left w:val="none" w:sz="0" w:space="0" w:color="auto"/>
            <w:bottom w:val="none" w:sz="0" w:space="0" w:color="auto"/>
            <w:right w:val="none" w:sz="0" w:space="0" w:color="auto"/>
          </w:divBdr>
          <w:divsChild>
            <w:div w:id="749472561">
              <w:marLeft w:val="0"/>
              <w:marRight w:val="0"/>
              <w:marTop w:val="0"/>
              <w:marBottom w:val="0"/>
              <w:divBdr>
                <w:top w:val="none" w:sz="0" w:space="0" w:color="auto"/>
                <w:left w:val="none" w:sz="0" w:space="0" w:color="auto"/>
                <w:bottom w:val="none" w:sz="0" w:space="0" w:color="auto"/>
                <w:right w:val="none" w:sz="0" w:space="0" w:color="auto"/>
              </w:divBdr>
              <w:divsChild>
                <w:div w:id="2012876515">
                  <w:marLeft w:val="0"/>
                  <w:marRight w:val="0"/>
                  <w:marTop w:val="0"/>
                  <w:marBottom w:val="0"/>
                  <w:divBdr>
                    <w:top w:val="none" w:sz="0" w:space="0" w:color="auto"/>
                    <w:left w:val="none" w:sz="0" w:space="0" w:color="auto"/>
                    <w:bottom w:val="none" w:sz="0" w:space="0" w:color="auto"/>
                    <w:right w:val="none" w:sz="0" w:space="0" w:color="auto"/>
                  </w:divBdr>
                  <w:divsChild>
                    <w:div w:id="370955580">
                      <w:marLeft w:val="0"/>
                      <w:marRight w:val="60"/>
                      <w:marTop w:val="0"/>
                      <w:marBottom w:val="1200"/>
                      <w:divBdr>
                        <w:top w:val="none" w:sz="0" w:space="0" w:color="auto"/>
                        <w:left w:val="none" w:sz="0" w:space="0" w:color="auto"/>
                        <w:bottom w:val="none" w:sz="0" w:space="0" w:color="auto"/>
                        <w:right w:val="none" w:sz="0" w:space="0" w:color="auto"/>
                      </w:divBdr>
                      <w:divsChild>
                        <w:div w:id="1054037552">
                          <w:marLeft w:val="0"/>
                          <w:marRight w:val="0"/>
                          <w:marTop w:val="288"/>
                          <w:marBottom w:val="0"/>
                          <w:divBdr>
                            <w:top w:val="none" w:sz="0" w:space="0" w:color="auto"/>
                            <w:left w:val="none" w:sz="0" w:space="0" w:color="auto"/>
                            <w:bottom w:val="none" w:sz="0" w:space="0" w:color="auto"/>
                            <w:right w:val="none" w:sz="0" w:space="0" w:color="auto"/>
                          </w:divBdr>
                          <w:divsChild>
                            <w:div w:id="161508408">
                              <w:marLeft w:val="0"/>
                              <w:marRight w:val="0"/>
                              <w:marTop w:val="0"/>
                              <w:marBottom w:val="0"/>
                              <w:divBdr>
                                <w:top w:val="none" w:sz="0" w:space="0" w:color="auto"/>
                                <w:left w:val="none" w:sz="0" w:space="0" w:color="auto"/>
                                <w:bottom w:val="none" w:sz="0" w:space="0" w:color="auto"/>
                                <w:right w:val="none" w:sz="0" w:space="0" w:color="auto"/>
                              </w:divBdr>
                              <w:divsChild>
                                <w:div w:id="931888824">
                                  <w:marLeft w:val="0"/>
                                  <w:marRight w:val="0"/>
                                  <w:marTop w:val="0"/>
                                  <w:marBottom w:val="0"/>
                                  <w:divBdr>
                                    <w:top w:val="none" w:sz="0" w:space="0" w:color="auto"/>
                                    <w:left w:val="none" w:sz="0" w:space="0" w:color="auto"/>
                                    <w:bottom w:val="none" w:sz="0" w:space="0" w:color="auto"/>
                                    <w:right w:val="none" w:sz="0" w:space="0" w:color="auto"/>
                                  </w:divBdr>
                                  <w:divsChild>
                                    <w:div w:id="1705524440">
                                      <w:marLeft w:val="0"/>
                                      <w:marRight w:val="0"/>
                                      <w:marTop w:val="144"/>
                                      <w:marBottom w:val="0"/>
                                      <w:divBdr>
                                        <w:top w:val="none" w:sz="0" w:space="0" w:color="auto"/>
                                        <w:left w:val="none" w:sz="0" w:space="0" w:color="auto"/>
                                        <w:bottom w:val="none" w:sz="0" w:space="0" w:color="auto"/>
                                        <w:right w:val="none" w:sz="0" w:space="0" w:color="auto"/>
                                      </w:divBdr>
                                      <w:divsChild>
                                        <w:div w:id="860625845">
                                          <w:marLeft w:val="0"/>
                                          <w:marRight w:val="0"/>
                                          <w:marTop w:val="144"/>
                                          <w:marBottom w:val="0"/>
                                          <w:divBdr>
                                            <w:top w:val="none" w:sz="0" w:space="0" w:color="auto"/>
                                            <w:left w:val="none" w:sz="0" w:space="0" w:color="auto"/>
                                            <w:bottom w:val="none" w:sz="0" w:space="0" w:color="auto"/>
                                            <w:right w:val="none" w:sz="0" w:space="0" w:color="auto"/>
                                          </w:divBdr>
                                        </w:div>
                                        <w:div w:id="197363131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208">
      <w:bodyDiv w:val="1"/>
      <w:marLeft w:val="0"/>
      <w:marRight w:val="0"/>
      <w:marTop w:val="0"/>
      <w:marBottom w:val="0"/>
      <w:divBdr>
        <w:top w:val="none" w:sz="0" w:space="0" w:color="auto"/>
        <w:left w:val="none" w:sz="0" w:space="0" w:color="auto"/>
        <w:bottom w:val="none" w:sz="0" w:space="0" w:color="auto"/>
        <w:right w:val="none" w:sz="0" w:space="0" w:color="auto"/>
      </w:divBdr>
    </w:div>
    <w:div w:id="1262910385">
      <w:bodyDiv w:val="1"/>
      <w:marLeft w:val="0"/>
      <w:marRight w:val="0"/>
      <w:marTop w:val="0"/>
      <w:marBottom w:val="0"/>
      <w:divBdr>
        <w:top w:val="none" w:sz="0" w:space="0" w:color="auto"/>
        <w:left w:val="none" w:sz="0" w:space="0" w:color="auto"/>
        <w:bottom w:val="none" w:sz="0" w:space="0" w:color="auto"/>
        <w:right w:val="none" w:sz="0" w:space="0" w:color="auto"/>
      </w:divBdr>
      <w:divsChild>
        <w:div w:id="1838300359">
          <w:marLeft w:val="0"/>
          <w:marRight w:val="0"/>
          <w:marTop w:val="0"/>
          <w:marBottom w:val="0"/>
          <w:divBdr>
            <w:top w:val="none" w:sz="0" w:space="0" w:color="auto"/>
            <w:left w:val="none" w:sz="0" w:space="0" w:color="auto"/>
            <w:bottom w:val="none" w:sz="0" w:space="0" w:color="auto"/>
            <w:right w:val="none" w:sz="0" w:space="0" w:color="auto"/>
          </w:divBdr>
          <w:divsChild>
            <w:div w:id="204871107">
              <w:marLeft w:val="0"/>
              <w:marRight w:val="0"/>
              <w:marTop w:val="0"/>
              <w:marBottom w:val="0"/>
              <w:divBdr>
                <w:top w:val="none" w:sz="0" w:space="0" w:color="auto"/>
                <w:left w:val="none" w:sz="0" w:space="0" w:color="auto"/>
                <w:bottom w:val="none" w:sz="0" w:space="0" w:color="auto"/>
                <w:right w:val="none" w:sz="0" w:space="0" w:color="auto"/>
              </w:divBdr>
              <w:divsChild>
                <w:div w:id="1998486710">
                  <w:marLeft w:val="0"/>
                  <w:marRight w:val="0"/>
                  <w:marTop w:val="0"/>
                  <w:marBottom w:val="0"/>
                  <w:divBdr>
                    <w:top w:val="none" w:sz="0" w:space="0" w:color="auto"/>
                    <w:left w:val="none" w:sz="0" w:space="0" w:color="auto"/>
                    <w:bottom w:val="none" w:sz="0" w:space="0" w:color="auto"/>
                    <w:right w:val="none" w:sz="0" w:space="0" w:color="auto"/>
                  </w:divBdr>
                  <w:divsChild>
                    <w:div w:id="1234118732">
                      <w:marLeft w:val="0"/>
                      <w:marRight w:val="75"/>
                      <w:marTop w:val="0"/>
                      <w:marBottom w:val="1500"/>
                      <w:divBdr>
                        <w:top w:val="none" w:sz="0" w:space="0" w:color="auto"/>
                        <w:left w:val="none" w:sz="0" w:space="0" w:color="auto"/>
                        <w:bottom w:val="none" w:sz="0" w:space="0" w:color="auto"/>
                        <w:right w:val="none" w:sz="0" w:space="0" w:color="auto"/>
                      </w:divBdr>
                      <w:divsChild>
                        <w:div w:id="126626224">
                          <w:marLeft w:val="0"/>
                          <w:marRight w:val="0"/>
                          <w:marTop w:val="0"/>
                          <w:marBottom w:val="0"/>
                          <w:divBdr>
                            <w:top w:val="none" w:sz="0" w:space="0" w:color="auto"/>
                            <w:left w:val="none" w:sz="0" w:space="0" w:color="auto"/>
                            <w:bottom w:val="none" w:sz="0" w:space="0" w:color="auto"/>
                            <w:right w:val="none" w:sz="0" w:space="0" w:color="auto"/>
                          </w:divBdr>
                          <w:divsChild>
                            <w:div w:id="1391151663">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007775">
      <w:bodyDiv w:val="1"/>
      <w:marLeft w:val="0"/>
      <w:marRight w:val="0"/>
      <w:marTop w:val="0"/>
      <w:marBottom w:val="0"/>
      <w:divBdr>
        <w:top w:val="none" w:sz="0" w:space="0" w:color="auto"/>
        <w:left w:val="none" w:sz="0" w:space="0" w:color="auto"/>
        <w:bottom w:val="none" w:sz="0" w:space="0" w:color="auto"/>
        <w:right w:val="none" w:sz="0" w:space="0" w:color="auto"/>
      </w:divBdr>
    </w:div>
    <w:div w:id="1467509270">
      <w:bodyDiv w:val="1"/>
      <w:marLeft w:val="0"/>
      <w:marRight w:val="0"/>
      <w:marTop w:val="0"/>
      <w:marBottom w:val="0"/>
      <w:divBdr>
        <w:top w:val="none" w:sz="0" w:space="0" w:color="auto"/>
        <w:left w:val="none" w:sz="0" w:space="0" w:color="auto"/>
        <w:bottom w:val="none" w:sz="0" w:space="0" w:color="auto"/>
        <w:right w:val="none" w:sz="0" w:space="0" w:color="auto"/>
      </w:divBdr>
    </w:div>
    <w:div w:id="1595941511">
      <w:bodyDiv w:val="1"/>
      <w:marLeft w:val="0"/>
      <w:marRight w:val="0"/>
      <w:marTop w:val="0"/>
      <w:marBottom w:val="0"/>
      <w:divBdr>
        <w:top w:val="none" w:sz="0" w:space="0" w:color="auto"/>
        <w:left w:val="none" w:sz="0" w:space="0" w:color="auto"/>
        <w:bottom w:val="none" w:sz="0" w:space="0" w:color="auto"/>
        <w:right w:val="none" w:sz="0" w:space="0" w:color="auto"/>
      </w:divBdr>
    </w:div>
    <w:div w:id="1613973679">
      <w:bodyDiv w:val="1"/>
      <w:marLeft w:val="0"/>
      <w:marRight w:val="0"/>
      <w:marTop w:val="0"/>
      <w:marBottom w:val="0"/>
      <w:divBdr>
        <w:top w:val="none" w:sz="0" w:space="0" w:color="auto"/>
        <w:left w:val="none" w:sz="0" w:space="0" w:color="auto"/>
        <w:bottom w:val="none" w:sz="0" w:space="0" w:color="auto"/>
        <w:right w:val="none" w:sz="0" w:space="0" w:color="auto"/>
      </w:divBdr>
      <w:divsChild>
        <w:div w:id="946738900">
          <w:marLeft w:val="0"/>
          <w:marRight w:val="0"/>
          <w:marTop w:val="0"/>
          <w:marBottom w:val="0"/>
          <w:divBdr>
            <w:top w:val="none" w:sz="0" w:space="0" w:color="auto"/>
            <w:left w:val="none" w:sz="0" w:space="0" w:color="auto"/>
            <w:bottom w:val="none" w:sz="0" w:space="0" w:color="auto"/>
            <w:right w:val="none" w:sz="0" w:space="0" w:color="auto"/>
          </w:divBdr>
          <w:divsChild>
            <w:div w:id="1963151000">
              <w:marLeft w:val="0"/>
              <w:marRight w:val="0"/>
              <w:marTop w:val="0"/>
              <w:marBottom w:val="0"/>
              <w:divBdr>
                <w:top w:val="none" w:sz="0" w:space="0" w:color="auto"/>
                <w:left w:val="none" w:sz="0" w:space="0" w:color="auto"/>
                <w:bottom w:val="none" w:sz="0" w:space="0" w:color="auto"/>
                <w:right w:val="none" w:sz="0" w:space="0" w:color="auto"/>
              </w:divBdr>
              <w:divsChild>
                <w:div w:id="531655817">
                  <w:marLeft w:val="0"/>
                  <w:marRight w:val="0"/>
                  <w:marTop w:val="0"/>
                  <w:marBottom w:val="0"/>
                  <w:divBdr>
                    <w:top w:val="none" w:sz="0" w:space="0" w:color="auto"/>
                    <w:left w:val="none" w:sz="0" w:space="0" w:color="auto"/>
                    <w:bottom w:val="none" w:sz="0" w:space="0" w:color="auto"/>
                    <w:right w:val="none" w:sz="0" w:space="0" w:color="auto"/>
                  </w:divBdr>
                  <w:divsChild>
                    <w:div w:id="149104800">
                      <w:marLeft w:val="0"/>
                      <w:marRight w:val="60"/>
                      <w:marTop w:val="0"/>
                      <w:marBottom w:val="1200"/>
                      <w:divBdr>
                        <w:top w:val="none" w:sz="0" w:space="0" w:color="auto"/>
                        <w:left w:val="none" w:sz="0" w:space="0" w:color="auto"/>
                        <w:bottom w:val="none" w:sz="0" w:space="0" w:color="auto"/>
                        <w:right w:val="none" w:sz="0" w:space="0" w:color="auto"/>
                      </w:divBdr>
                      <w:divsChild>
                        <w:div w:id="1426421575">
                          <w:marLeft w:val="0"/>
                          <w:marRight w:val="0"/>
                          <w:marTop w:val="288"/>
                          <w:marBottom w:val="0"/>
                          <w:divBdr>
                            <w:top w:val="none" w:sz="0" w:space="0" w:color="auto"/>
                            <w:left w:val="none" w:sz="0" w:space="0" w:color="auto"/>
                            <w:bottom w:val="none" w:sz="0" w:space="0" w:color="auto"/>
                            <w:right w:val="none" w:sz="0" w:space="0" w:color="auto"/>
                          </w:divBdr>
                          <w:divsChild>
                            <w:div w:id="674497055">
                              <w:marLeft w:val="0"/>
                              <w:marRight w:val="0"/>
                              <w:marTop w:val="0"/>
                              <w:marBottom w:val="0"/>
                              <w:divBdr>
                                <w:top w:val="none" w:sz="0" w:space="0" w:color="auto"/>
                                <w:left w:val="none" w:sz="0" w:space="0" w:color="auto"/>
                                <w:bottom w:val="none" w:sz="0" w:space="0" w:color="auto"/>
                                <w:right w:val="none" w:sz="0" w:space="0" w:color="auto"/>
                              </w:divBdr>
                              <w:divsChild>
                                <w:div w:id="376008136">
                                  <w:marLeft w:val="0"/>
                                  <w:marRight w:val="0"/>
                                  <w:marTop w:val="0"/>
                                  <w:marBottom w:val="0"/>
                                  <w:divBdr>
                                    <w:top w:val="none" w:sz="0" w:space="0" w:color="auto"/>
                                    <w:left w:val="none" w:sz="0" w:space="0" w:color="auto"/>
                                    <w:bottom w:val="none" w:sz="0" w:space="0" w:color="auto"/>
                                    <w:right w:val="none" w:sz="0" w:space="0" w:color="auto"/>
                                  </w:divBdr>
                                  <w:divsChild>
                                    <w:div w:id="423958176">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441360">
      <w:bodyDiv w:val="1"/>
      <w:marLeft w:val="0"/>
      <w:marRight w:val="0"/>
      <w:marTop w:val="0"/>
      <w:marBottom w:val="0"/>
      <w:divBdr>
        <w:top w:val="none" w:sz="0" w:space="0" w:color="auto"/>
        <w:left w:val="none" w:sz="0" w:space="0" w:color="auto"/>
        <w:bottom w:val="none" w:sz="0" w:space="0" w:color="auto"/>
        <w:right w:val="none" w:sz="0" w:space="0" w:color="auto"/>
      </w:divBdr>
    </w:div>
    <w:div w:id="1699546438">
      <w:bodyDiv w:val="1"/>
      <w:marLeft w:val="0"/>
      <w:marRight w:val="0"/>
      <w:marTop w:val="0"/>
      <w:marBottom w:val="0"/>
      <w:divBdr>
        <w:top w:val="none" w:sz="0" w:space="0" w:color="auto"/>
        <w:left w:val="none" w:sz="0" w:space="0" w:color="auto"/>
        <w:bottom w:val="none" w:sz="0" w:space="0" w:color="auto"/>
        <w:right w:val="none" w:sz="0" w:space="0" w:color="auto"/>
      </w:divBdr>
    </w:div>
    <w:div w:id="1739354136">
      <w:bodyDiv w:val="1"/>
      <w:marLeft w:val="0"/>
      <w:marRight w:val="0"/>
      <w:marTop w:val="0"/>
      <w:marBottom w:val="0"/>
      <w:divBdr>
        <w:top w:val="none" w:sz="0" w:space="0" w:color="auto"/>
        <w:left w:val="none" w:sz="0" w:space="0" w:color="auto"/>
        <w:bottom w:val="none" w:sz="0" w:space="0" w:color="auto"/>
        <w:right w:val="none" w:sz="0" w:space="0" w:color="auto"/>
      </w:divBdr>
      <w:divsChild>
        <w:div w:id="1271469607">
          <w:marLeft w:val="0"/>
          <w:marRight w:val="0"/>
          <w:marTop w:val="0"/>
          <w:marBottom w:val="0"/>
          <w:divBdr>
            <w:top w:val="none" w:sz="0" w:space="0" w:color="auto"/>
            <w:left w:val="none" w:sz="0" w:space="0" w:color="auto"/>
            <w:bottom w:val="none" w:sz="0" w:space="0" w:color="auto"/>
            <w:right w:val="none" w:sz="0" w:space="0" w:color="auto"/>
          </w:divBdr>
          <w:divsChild>
            <w:div w:id="1135608013">
              <w:marLeft w:val="0"/>
              <w:marRight w:val="0"/>
              <w:marTop w:val="0"/>
              <w:marBottom w:val="0"/>
              <w:divBdr>
                <w:top w:val="none" w:sz="0" w:space="0" w:color="auto"/>
                <w:left w:val="none" w:sz="0" w:space="0" w:color="auto"/>
                <w:bottom w:val="none" w:sz="0" w:space="0" w:color="auto"/>
                <w:right w:val="none" w:sz="0" w:space="0" w:color="auto"/>
              </w:divBdr>
              <w:divsChild>
                <w:div w:id="1402754025">
                  <w:marLeft w:val="0"/>
                  <w:marRight w:val="0"/>
                  <w:marTop w:val="0"/>
                  <w:marBottom w:val="0"/>
                  <w:divBdr>
                    <w:top w:val="none" w:sz="0" w:space="0" w:color="auto"/>
                    <w:left w:val="none" w:sz="0" w:space="0" w:color="auto"/>
                    <w:bottom w:val="none" w:sz="0" w:space="0" w:color="auto"/>
                    <w:right w:val="none" w:sz="0" w:space="0" w:color="auto"/>
                  </w:divBdr>
                  <w:divsChild>
                    <w:div w:id="1720979329">
                      <w:marLeft w:val="0"/>
                      <w:marRight w:val="60"/>
                      <w:marTop w:val="0"/>
                      <w:marBottom w:val="1200"/>
                      <w:divBdr>
                        <w:top w:val="none" w:sz="0" w:space="0" w:color="auto"/>
                        <w:left w:val="none" w:sz="0" w:space="0" w:color="auto"/>
                        <w:bottom w:val="none" w:sz="0" w:space="0" w:color="auto"/>
                        <w:right w:val="none" w:sz="0" w:space="0" w:color="auto"/>
                      </w:divBdr>
                      <w:divsChild>
                        <w:div w:id="1760758550">
                          <w:marLeft w:val="0"/>
                          <w:marRight w:val="0"/>
                          <w:marTop w:val="288"/>
                          <w:marBottom w:val="0"/>
                          <w:divBdr>
                            <w:top w:val="none" w:sz="0" w:space="0" w:color="auto"/>
                            <w:left w:val="none" w:sz="0" w:space="0" w:color="auto"/>
                            <w:bottom w:val="none" w:sz="0" w:space="0" w:color="auto"/>
                            <w:right w:val="none" w:sz="0" w:space="0" w:color="auto"/>
                          </w:divBdr>
                          <w:divsChild>
                            <w:div w:id="754012242">
                              <w:marLeft w:val="0"/>
                              <w:marRight w:val="0"/>
                              <w:marTop w:val="0"/>
                              <w:marBottom w:val="0"/>
                              <w:divBdr>
                                <w:top w:val="none" w:sz="0" w:space="0" w:color="auto"/>
                                <w:left w:val="none" w:sz="0" w:space="0" w:color="auto"/>
                                <w:bottom w:val="none" w:sz="0" w:space="0" w:color="auto"/>
                                <w:right w:val="none" w:sz="0" w:space="0" w:color="auto"/>
                              </w:divBdr>
                              <w:divsChild>
                                <w:div w:id="2143501054">
                                  <w:marLeft w:val="0"/>
                                  <w:marRight w:val="0"/>
                                  <w:marTop w:val="0"/>
                                  <w:marBottom w:val="0"/>
                                  <w:divBdr>
                                    <w:top w:val="none" w:sz="0" w:space="0" w:color="auto"/>
                                    <w:left w:val="none" w:sz="0" w:space="0" w:color="auto"/>
                                    <w:bottom w:val="none" w:sz="0" w:space="0" w:color="auto"/>
                                    <w:right w:val="none" w:sz="0" w:space="0" w:color="auto"/>
                                  </w:divBdr>
                                  <w:divsChild>
                                    <w:div w:id="1956523355">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468114">
      <w:bodyDiv w:val="1"/>
      <w:marLeft w:val="0"/>
      <w:marRight w:val="0"/>
      <w:marTop w:val="0"/>
      <w:marBottom w:val="0"/>
      <w:divBdr>
        <w:top w:val="none" w:sz="0" w:space="0" w:color="auto"/>
        <w:left w:val="none" w:sz="0" w:space="0" w:color="auto"/>
        <w:bottom w:val="none" w:sz="0" w:space="0" w:color="auto"/>
        <w:right w:val="none" w:sz="0" w:space="0" w:color="auto"/>
      </w:divBdr>
      <w:divsChild>
        <w:div w:id="1477916875">
          <w:marLeft w:val="0"/>
          <w:marRight w:val="0"/>
          <w:marTop w:val="0"/>
          <w:marBottom w:val="0"/>
          <w:divBdr>
            <w:top w:val="none" w:sz="0" w:space="0" w:color="auto"/>
            <w:left w:val="none" w:sz="0" w:space="0" w:color="auto"/>
            <w:bottom w:val="none" w:sz="0" w:space="0" w:color="auto"/>
            <w:right w:val="none" w:sz="0" w:space="0" w:color="auto"/>
          </w:divBdr>
          <w:divsChild>
            <w:div w:id="777793008">
              <w:marLeft w:val="0"/>
              <w:marRight w:val="0"/>
              <w:marTop w:val="0"/>
              <w:marBottom w:val="0"/>
              <w:divBdr>
                <w:top w:val="none" w:sz="0" w:space="0" w:color="auto"/>
                <w:left w:val="none" w:sz="0" w:space="0" w:color="auto"/>
                <w:bottom w:val="none" w:sz="0" w:space="0" w:color="auto"/>
                <w:right w:val="none" w:sz="0" w:space="0" w:color="auto"/>
              </w:divBdr>
              <w:divsChild>
                <w:div w:id="2128768626">
                  <w:marLeft w:val="0"/>
                  <w:marRight w:val="0"/>
                  <w:marTop w:val="0"/>
                  <w:marBottom w:val="0"/>
                  <w:divBdr>
                    <w:top w:val="none" w:sz="0" w:space="0" w:color="auto"/>
                    <w:left w:val="none" w:sz="0" w:space="0" w:color="auto"/>
                    <w:bottom w:val="none" w:sz="0" w:space="0" w:color="auto"/>
                    <w:right w:val="none" w:sz="0" w:space="0" w:color="auto"/>
                  </w:divBdr>
                  <w:divsChild>
                    <w:div w:id="1861697577">
                      <w:marLeft w:val="0"/>
                      <w:marRight w:val="0"/>
                      <w:marTop w:val="0"/>
                      <w:marBottom w:val="0"/>
                      <w:divBdr>
                        <w:top w:val="none" w:sz="0" w:space="0" w:color="auto"/>
                        <w:left w:val="none" w:sz="0" w:space="0" w:color="auto"/>
                        <w:bottom w:val="none" w:sz="0" w:space="0" w:color="auto"/>
                        <w:right w:val="none" w:sz="0" w:space="0" w:color="auto"/>
                      </w:divBdr>
                      <w:divsChild>
                        <w:div w:id="711272340">
                          <w:marLeft w:val="0"/>
                          <w:marRight w:val="0"/>
                          <w:marTop w:val="0"/>
                          <w:marBottom w:val="0"/>
                          <w:divBdr>
                            <w:top w:val="none" w:sz="0" w:space="0" w:color="auto"/>
                            <w:left w:val="none" w:sz="0" w:space="0" w:color="auto"/>
                            <w:bottom w:val="none" w:sz="0" w:space="0" w:color="auto"/>
                            <w:right w:val="none" w:sz="0" w:space="0" w:color="auto"/>
                          </w:divBdr>
                          <w:divsChild>
                            <w:div w:id="1664821972">
                              <w:marLeft w:val="0"/>
                              <w:marRight w:val="0"/>
                              <w:marTop w:val="0"/>
                              <w:marBottom w:val="0"/>
                              <w:divBdr>
                                <w:top w:val="none" w:sz="0" w:space="0" w:color="auto"/>
                                <w:left w:val="none" w:sz="0" w:space="0" w:color="auto"/>
                                <w:bottom w:val="none" w:sz="0" w:space="0" w:color="auto"/>
                                <w:right w:val="none" w:sz="0" w:space="0" w:color="auto"/>
                              </w:divBdr>
                              <w:divsChild>
                                <w:div w:id="146674405">
                                  <w:blockQuote w:val="1"/>
                                  <w:marLeft w:val="500"/>
                                  <w:marRight w:val="0"/>
                                  <w:marTop w:val="0"/>
                                  <w:marBottom w:val="40"/>
                                  <w:divBdr>
                                    <w:top w:val="none" w:sz="0" w:space="0" w:color="auto"/>
                                    <w:left w:val="none" w:sz="0" w:space="0" w:color="auto"/>
                                    <w:bottom w:val="none" w:sz="0" w:space="0" w:color="auto"/>
                                    <w:right w:val="none" w:sz="0" w:space="0" w:color="auto"/>
                                  </w:divBdr>
                                  <w:divsChild>
                                    <w:div w:id="547843870">
                                      <w:marLeft w:val="0"/>
                                      <w:marRight w:val="0"/>
                                      <w:marTop w:val="0"/>
                                      <w:marBottom w:val="0"/>
                                      <w:divBdr>
                                        <w:top w:val="none" w:sz="0" w:space="0" w:color="auto"/>
                                        <w:left w:val="none" w:sz="0" w:space="0" w:color="auto"/>
                                        <w:bottom w:val="none" w:sz="0" w:space="0" w:color="auto"/>
                                        <w:right w:val="none" w:sz="0" w:space="0" w:color="auto"/>
                                      </w:divBdr>
                                    </w:div>
                                  </w:divsChild>
                                </w:div>
                                <w:div w:id="796098012">
                                  <w:blockQuote w:val="1"/>
                                  <w:marLeft w:val="500"/>
                                  <w:marRight w:val="0"/>
                                  <w:marTop w:val="0"/>
                                  <w:marBottom w:val="40"/>
                                  <w:divBdr>
                                    <w:top w:val="none" w:sz="0" w:space="0" w:color="auto"/>
                                    <w:left w:val="none" w:sz="0" w:space="0" w:color="auto"/>
                                    <w:bottom w:val="none" w:sz="0" w:space="0" w:color="auto"/>
                                    <w:right w:val="none" w:sz="0" w:space="0" w:color="auto"/>
                                  </w:divBdr>
                                  <w:divsChild>
                                    <w:div w:id="18987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374413">
      <w:bodyDiv w:val="1"/>
      <w:marLeft w:val="0"/>
      <w:marRight w:val="0"/>
      <w:marTop w:val="0"/>
      <w:marBottom w:val="0"/>
      <w:divBdr>
        <w:top w:val="none" w:sz="0" w:space="0" w:color="auto"/>
        <w:left w:val="none" w:sz="0" w:space="0" w:color="auto"/>
        <w:bottom w:val="none" w:sz="0" w:space="0" w:color="auto"/>
        <w:right w:val="none" w:sz="0" w:space="0" w:color="auto"/>
      </w:divBdr>
    </w:div>
    <w:div w:id="1840851184">
      <w:bodyDiv w:val="1"/>
      <w:marLeft w:val="0"/>
      <w:marRight w:val="0"/>
      <w:marTop w:val="0"/>
      <w:marBottom w:val="0"/>
      <w:divBdr>
        <w:top w:val="none" w:sz="0" w:space="0" w:color="auto"/>
        <w:left w:val="none" w:sz="0" w:space="0" w:color="auto"/>
        <w:bottom w:val="none" w:sz="0" w:space="0" w:color="auto"/>
        <w:right w:val="none" w:sz="0" w:space="0" w:color="auto"/>
      </w:divBdr>
    </w:div>
    <w:div w:id="1990749350">
      <w:bodyDiv w:val="1"/>
      <w:marLeft w:val="0"/>
      <w:marRight w:val="0"/>
      <w:marTop w:val="0"/>
      <w:marBottom w:val="0"/>
      <w:divBdr>
        <w:top w:val="none" w:sz="0" w:space="0" w:color="auto"/>
        <w:left w:val="none" w:sz="0" w:space="0" w:color="auto"/>
        <w:bottom w:val="none" w:sz="0" w:space="0" w:color="auto"/>
        <w:right w:val="none" w:sz="0" w:space="0" w:color="auto"/>
      </w:divBdr>
      <w:divsChild>
        <w:div w:id="1515195129">
          <w:marLeft w:val="0"/>
          <w:marRight w:val="0"/>
          <w:marTop w:val="0"/>
          <w:marBottom w:val="0"/>
          <w:divBdr>
            <w:top w:val="none" w:sz="0" w:space="0" w:color="auto"/>
            <w:left w:val="none" w:sz="0" w:space="0" w:color="auto"/>
            <w:bottom w:val="none" w:sz="0" w:space="0" w:color="auto"/>
            <w:right w:val="none" w:sz="0" w:space="0" w:color="auto"/>
          </w:divBdr>
          <w:divsChild>
            <w:div w:id="516430345">
              <w:marLeft w:val="0"/>
              <w:marRight w:val="0"/>
              <w:marTop w:val="0"/>
              <w:marBottom w:val="0"/>
              <w:divBdr>
                <w:top w:val="none" w:sz="0" w:space="0" w:color="auto"/>
                <w:left w:val="none" w:sz="0" w:space="0" w:color="auto"/>
                <w:bottom w:val="none" w:sz="0" w:space="0" w:color="auto"/>
                <w:right w:val="none" w:sz="0" w:space="0" w:color="auto"/>
              </w:divBdr>
              <w:divsChild>
                <w:div w:id="2085957292">
                  <w:marLeft w:val="0"/>
                  <w:marRight w:val="0"/>
                  <w:marTop w:val="0"/>
                  <w:marBottom w:val="0"/>
                  <w:divBdr>
                    <w:top w:val="none" w:sz="0" w:space="0" w:color="auto"/>
                    <w:left w:val="none" w:sz="0" w:space="0" w:color="auto"/>
                    <w:bottom w:val="none" w:sz="0" w:space="0" w:color="auto"/>
                    <w:right w:val="none" w:sz="0" w:space="0" w:color="auto"/>
                  </w:divBdr>
                  <w:divsChild>
                    <w:div w:id="943079105">
                      <w:marLeft w:val="0"/>
                      <w:marRight w:val="75"/>
                      <w:marTop w:val="0"/>
                      <w:marBottom w:val="1500"/>
                      <w:divBdr>
                        <w:top w:val="none" w:sz="0" w:space="0" w:color="auto"/>
                        <w:left w:val="none" w:sz="0" w:space="0" w:color="auto"/>
                        <w:bottom w:val="none" w:sz="0" w:space="0" w:color="auto"/>
                        <w:right w:val="none" w:sz="0" w:space="0" w:color="auto"/>
                      </w:divBdr>
                      <w:divsChild>
                        <w:div w:id="512304065">
                          <w:marLeft w:val="0"/>
                          <w:marRight w:val="0"/>
                          <w:marTop w:val="0"/>
                          <w:marBottom w:val="0"/>
                          <w:divBdr>
                            <w:top w:val="none" w:sz="0" w:space="0" w:color="auto"/>
                            <w:left w:val="none" w:sz="0" w:space="0" w:color="auto"/>
                            <w:bottom w:val="none" w:sz="0" w:space="0" w:color="auto"/>
                            <w:right w:val="none" w:sz="0" w:space="0" w:color="auto"/>
                          </w:divBdr>
                          <w:divsChild>
                            <w:div w:id="1843855928">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364005">
      <w:bodyDiv w:val="1"/>
      <w:marLeft w:val="0"/>
      <w:marRight w:val="0"/>
      <w:marTop w:val="0"/>
      <w:marBottom w:val="0"/>
      <w:divBdr>
        <w:top w:val="none" w:sz="0" w:space="0" w:color="auto"/>
        <w:left w:val="none" w:sz="0" w:space="0" w:color="auto"/>
        <w:bottom w:val="none" w:sz="0" w:space="0" w:color="auto"/>
        <w:right w:val="none" w:sz="0" w:space="0" w:color="auto"/>
      </w:divBdr>
      <w:divsChild>
        <w:div w:id="909079383">
          <w:marLeft w:val="0"/>
          <w:marRight w:val="0"/>
          <w:marTop w:val="0"/>
          <w:marBottom w:val="0"/>
          <w:divBdr>
            <w:top w:val="none" w:sz="0" w:space="0" w:color="auto"/>
            <w:left w:val="none" w:sz="0" w:space="0" w:color="auto"/>
            <w:bottom w:val="none" w:sz="0" w:space="0" w:color="auto"/>
            <w:right w:val="none" w:sz="0" w:space="0" w:color="auto"/>
          </w:divBdr>
          <w:divsChild>
            <w:div w:id="1905677413">
              <w:marLeft w:val="0"/>
              <w:marRight w:val="0"/>
              <w:marTop w:val="0"/>
              <w:marBottom w:val="0"/>
              <w:divBdr>
                <w:top w:val="none" w:sz="0" w:space="0" w:color="auto"/>
                <w:left w:val="none" w:sz="0" w:space="0" w:color="auto"/>
                <w:bottom w:val="none" w:sz="0" w:space="0" w:color="auto"/>
                <w:right w:val="none" w:sz="0" w:space="0" w:color="auto"/>
              </w:divBdr>
              <w:divsChild>
                <w:div w:id="1101488698">
                  <w:marLeft w:val="0"/>
                  <w:marRight w:val="0"/>
                  <w:marTop w:val="0"/>
                  <w:marBottom w:val="0"/>
                  <w:divBdr>
                    <w:top w:val="none" w:sz="0" w:space="0" w:color="auto"/>
                    <w:left w:val="none" w:sz="0" w:space="0" w:color="auto"/>
                    <w:bottom w:val="none" w:sz="0" w:space="0" w:color="auto"/>
                    <w:right w:val="none" w:sz="0" w:space="0" w:color="auto"/>
                  </w:divBdr>
                  <w:divsChild>
                    <w:div w:id="1263879548">
                      <w:marLeft w:val="0"/>
                      <w:marRight w:val="75"/>
                      <w:marTop w:val="0"/>
                      <w:marBottom w:val="1500"/>
                      <w:divBdr>
                        <w:top w:val="none" w:sz="0" w:space="0" w:color="auto"/>
                        <w:left w:val="none" w:sz="0" w:space="0" w:color="auto"/>
                        <w:bottom w:val="none" w:sz="0" w:space="0" w:color="auto"/>
                        <w:right w:val="none" w:sz="0" w:space="0" w:color="auto"/>
                      </w:divBdr>
                      <w:divsChild>
                        <w:div w:id="699744332">
                          <w:marLeft w:val="0"/>
                          <w:marRight w:val="0"/>
                          <w:marTop w:val="0"/>
                          <w:marBottom w:val="0"/>
                          <w:divBdr>
                            <w:top w:val="none" w:sz="0" w:space="0" w:color="auto"/>
                            <w:left w:val="none" w:sz="0" w:space="0" w:color="auto"/>
                            <w:bottom w:val="none" w:sz="0" w:space="0" w:color="auto"/>
                            <w:right w:val="none" w:sz="0" w:space="0" w:color="auto"/>
                          </w:divBdr>
                          <w:divsChild>
                            <w:div w:id="1312321728">
                              <w:marLeft w:val="0"/>
                              <w:marRight w:val="0"/>
                              <w:marTop w:val="288"/>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C337B-BF84-4225-B65C-85F7BA0E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9141</Words>
  <Characters>52106</Characters>
  <Application>Microsoft Office Word</Application>
  <DocSecurity>0</DocSecurity>
  <Lines>434</Lines>
  <Paragraphs>122</Paragraphs>
  <ScaleCrop>false</ScaleCrop>
  <LinksUpToDate>false</LinksUpToDate>
  <CharactersWithSpaces>61125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2013-10-23T07:12:00Z</dcterms:created>
  <dcterms:modified xsi:type="dcterms:W3CDTF">2013-10-23T07:12:00Z</dcterms:modified>
</cp:coreProperties>
</file>