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1B32" w14:textId="77777777" w:rsidR="002E57F2" w:rsidRDefault="00B576BB" w:rsidP="1620B858">
      <w:pPr>
        <w:pStyle w:val="BodyText2"/>
        <w:spacing w:after="0" w:line="240" w:lineRule="auto"/>
        <w:jc w:val="center"/>
        <w:rPr>
          <w:b/>
          <w:bCs/>
          <w:sz w:val="24"/>
          <w:szCs w:val="24"/>
        </w:rPr>
      </w:pPr>
      <w:r w:rsidRPr="1620B858">
        <w:rPr>
          <w:b/>
          <w:bCs/>
          <w:sz w:val="24"/>
          <w:szCs w:val="24"/>
        </w:rPr>
        <w:t xml:space="preserve">SUMMARY TABLE ON </w:t>
      </w:r>
      <w:r w:rsidR="00745146" w:rsidRPr="1620B858">
        <w:rPr>
          <w:b/>
          <w:bCs/>
          <w:sz w:val="24"/>
          <w:szCs w:val="24"/>
        </w:rPr>
        <w:t xml:space="preserve">PROPOSED </w:t>
      </w:r>
      <w:r w:rsidRPr="1620B858">
        <w:rPr>
          <w:b/>
          <w:bCs/>
          <w:sz w:val="24"/>
          <w:szCs w:val="24"/>
        </w:rPr>
        <w:t xml:space="preserve">CHANGES </w:t>
      </w:r>
      <w:r w:rsidR="005F325F" w:rsidRPr="1620B858">
        <w:rPr>
          <w:b/>
          <w:bCs/>
          <w:sz w:val="24"/>
          <w:szCs w:val="24"/>
        </w:rPr>
        <w:t xml:space="preserve">TO THE INCOME TAX ACT </w:t>
      </w:r>
      <w:r w:rsidR="11A14484" w:rsidRPr="1620B858">
        <w:rPr>
          <w:b/>
          <w:bCs/>
          <w:sz w:val="24"/>
          <w:szCs w:val="24"/>
        </w:rPr>
        <w:t xml:space="preserve">1947 </w:t>
      </w:r>
      <w:r w:rsidR="00ED19BB" w:rsidRPr="1620B858">
        <w:rPr>
          <w:b/>
          <w:bCs/>
          <w:sz w:val="24"/>
          <w:szCs w:val="24"/>
        </w:rPr>
        <w:t>(“ITA”)</w:t>
      </w:r>
    </w:p>
    <w:p w14:paraId="0D2DF624" w14:textId="43995A33" w:rsidR="007F1B02" w:rsidRPr="004166FC" w:rsidRDefault="005F325F" w:rsidP="004166FC">
      <w:pPr>
        <w:pStyle w:val="BodyText2"/>
        <w:spacing w:after="0" w:line="240" w:lineRule="auto"/>
        <w:jc w:val="center"/>
        <w:rPr>
          <w:b/>
          <w:sz w:val="24"/>
          <w:szCs w:val="24"/>
        </w:rPr>
      </w:pPr>
      <w:r w:rsidRPr="1620B858">
        <w:rPr>
          <w:b/>
          <w:bCs/>
          <w:sz w:val="24"/>
          <w:szCs w:val="24"/>
        </w:rPr>
        <w:t>AS ANNOUNCED IN</w:t>
      </w:r>
      <w:r w:rsidR="002E57F2">
        <w:rPr>
          <w:b/>
          <w:bCs/>
          <w:sz w:val="24"/>
          <w:szCs w:val="24"/>
        </w:rPr>
        <w:t xml:space="preserve"> </w:t>
      </w:r>
      <w:r w:rsidR="00CB4CF0">
        <w:rPr>
          <w:b/>
          <w:bCs/>
          <w:sz w:val="24"/>
          <w:szCs w:val="24"/>
        </w:rPr>
        <w:t xml:space="preserve">THE </w:t>
      </w:r>
      <w:r w:rsidR="00FE6643">
        <w:rPr>
          <w:b/>
          <w:bCs/>
          <w:sz w:val="24"/>
          <w:szCs w:val="24"/>
        </w:rPr>
        <w:t>202</w:t>
      </w:r>
      <w:r w:rsidR="00C11119">
        <w:rPr>
          <w:b/>
          <w:bCs/>
          <w:sz w:val="24"/>
          <w:szCs w:val="24"/>
        </w:rPr>
        <w:t>3</w:t>
      </w:r>
      <w:r w:rsidR="00CB4CF0">
        <w:rPr>
          <w:b/>
          <w:bCs/>
          <w:sz w:val="24"/>
          <w:szCs w:val="24"/>
        </w:rPr>
        <w:t xml:space="preserve"> </w:t>
      </w:r>
      <w:r w:rsidR="00B576BB" w:rsidRPr="0034393D">
        <w:rPr>
          <w:b/>
          <w:bCs/>
          <w:sz w:val="24"/>
          <w:szCs w:val="24"/>
        </w:rPr>
        <w:t xml:space="preserve">BUDGET </w:t>
      </w:r>
      <w:r w:rsidR="00833D13" w:rsidRPr="0034393D">
        <w:rPr>
          <w:b/>
          <w:bCs/>
          <w:sz w:val="24"/>
          <w:szCs w:val="24"/>
        </w:rPr>
        <w:t>STATEMENT</w:t>
      </w:r>
    </w:p>
    <w:p w14:paraId="37487BCD" w14:textId="77777777" w:rsidR="005B13DF" w:rsidRDefault="005B13DF" w:rsidP="00DB1164">
      <w:pPr>
        <w:rPr>
          <w:b/>
        </w:rPr>
      </w:pPr>
    </w:p>
    <w:tbl>
      <w:tblPr>
        <w:tblW w:w="13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846"/>
        <w:gridCol w:w="3260"/>
        <w:gridCol w:w="6869"/>
        <w:gridCol w:w="2082"/>
      </w:tblGrid>
      <w:tr w:rsidR="000974A2" w:rsidRPr="000974A2" w14:paraId="5161D90A" w14:textId="77777777" w:rsidTr="3653BBEC">
        <w:trPr>
          <w:tblHeader/>
          <w:jc w:val="center"/>
        </w:trPr>
        <w:tc>
          <w:tcPr>
            <w:tcW w:w="846" w:type="dxa"/>
            <w:shd w:val="clear" w:color="auto" w:fill="E5DFEC" w:themeFill="accent4" w:themeFillTint="33"/>
          </w:tcPr>
          <w:p w14:paraId="72C22E34" w14:textId="77777777" w:rsidR="000974A2" w:rsidRPr="000974A2" w:rsidRDefault="000974A2" w:rsidP="00550E02">
            <w:pPr>
              <w:widowControl w:val="0"/>
              <w:jc w:val="both"/>
              <w:rPr>
                <w:rFonts w:eastAsia="SimSun"/>
                <w:b/>
              </w:rPr>
            </w:pPr>
            <w:r w:rsidRPr="00AA6671">
              <w:rPr>
                <w:rFonts w:eastAsia="SimSun"/>
                <w:b/>
              </w:rPr>
              <w:t>S/N</w:t>
            </w:r>
          </w:p>
        </w:tc>
        <w:tc>
          <w:tcPr>
            <w:tcW w:w="3260" w:type="dxa"/>
            <w:shd w:val="clear" w:color="auto" w:fill="E5DFEC" w:themeFill="accent4" w:themeFillTint="33"/>
          </w:tcPr>
          <w:p w14:paraId="1E736CB7" w14:textId="641136A3" w:rsidR="000974A2" w:rsidRPr="000974A2" w:rsidRDefault="005F682A" w:rsidP="00550E02">
            <w:pPr>
              <w:widowControl w:val="0"/>
              <w:jc w:val="both"/>
              <w:rPr>
                <w:rFonts w:eastAsia="SimSun"/>
                <w:b/>
              </w:rPr>
            </w:pPr>
            <w:r>
              <w:rPr>
                <w:rFonts w:eastAsia="SimSun"/>
                <w:b/>
              </w:rPr>
              <w:t xml:space="preserve">Proposed </w:t>
            </w:r>
            <w:r w:rsidR="000974A2" w:rsidRPr="00AA6671">
              <w:rPr>
                <w:rFonts w:eastAsia="SimSun"/>
                <w:b/>
              </w:rPr>
              <w:t>Legislative Change</w:t>
            </w:r>
          </w:p>
        </w:tc>
        <w:tc>
          <w:tcPr>
            <w:tcW w:w="6869" w:type="dxa"/>
            <w:shd w:val="clear" w:color="auto" w:fill="E5DFEC" w:themeFill="accent4" w:themeFillTint="33"/>
          </w:tcPr>
          <w:p w14:paraId="4D1E6AA4" w14:textId="39850879" w:rsidR="000974A2" w:rsidRPr="000974A2" w:rsidRDefault="000974A2" w:rsidP="00550E02">
            <w:pPr>
              <w:widowControl w:val="0"/>
              <w:jc w:val="both"/>
              <w:rPr>
                <w:rFonts w:eastAsia="SimSun"/>
                <w:b/>
              </w:rPr>
            </w:pPr>
            <w:r w:rsidRPr="00AA6671">
              <w:rPr>
                <w:rFonts w:eastAsia="SimSun"/>
                <w:b/>
              </w:rPr>
              <w:t xml:space="preserve">Brief Description of </w:t>
            </w:r>
            <w:r w:rsidR="005F682A">
              <w:rPr>
                <w:rFonts w:eastAsia="SimSun"/>
                <w:b/>
              </w:rPr>
              <w:t xml:space="preserve">Proposed </w:t>
            </w:r>
            <w:r w:rsidRPr="00AA6671">
              <w:rPr>
                <w:rFonts w:eastAsia="SimSun"/>
                <w:b/>
              </w:rPr>
              <w:t>Legislative Changes</w:t>
            </w:r>
          </w:p>
        </w:tc>
        <w:tc>
          <w:tcPr>
            <w:tcW w:w="2082" w:type="dxa"/>
            <w:shd w:val="clear" w:color="auto" w:fill="E5DFEC" w:themeFill="accent4" w:themeFillTint="33"/>
          </w:tcPr>
          <w:p w14:paraId="22EDFE54" w14:textId="6FA41356" w:rsidR="000974A2" w:rsidRDefault="005F682A" w:rsidP="00550E02">
            <w:pPr>
              <w:widowControl w:val="0"/>
              <w:jc w:val="both"/>
              <w:rPr>
                <w:rFonts w:eastAsia="SimSun"/>
                <w:b/>
              </w:rPr>
            </w:pPr>
            <w:r>
              <w:rPr>
                <w:rFonts w:eastAsia="SimSun"/>
                <w:b/>
              </w:rPr>
              <w:t xml:space="preserve">Proposed </w:t>
            </w:r>
            <w:r w:rsidR="000974A2" w:rsidRPr="00AA6671">
              <w:rPr>
                <w:rFonts w:eastAsia="SimSun"/>
                <w:b/>
              </w:rPr>
              <w:t xml:space="preserve">Amendment to ITA [Clause in </w:t>
            </w:r>
            <w:r>
              <w:rPr>
                <w:rFonts w:eastAsia="SimSun"/>
                <w:b/>
              </w:rPr>
              <w:t xml:space="preserve">Draft </w:t>
            </w:r>
            <w:r w:rsidR="000974A2" w:rsidRPr="00AA6671">
              <w:rPr>
                <w:rFonts w:eastAsia="SimSun"/>
                <w:b/>
              </w:rPr>
              <w:t xml:space="preserve">Income Tax </w:t>
            </w:r>
            <w:r w:rsidR="616A22E2" w:rsidRPr="1A1E623B">
              <w:rPr>
                <w:rFonts w:eastAsia="SimSun"/>
                <w:b/>
                <w:bCs/>
              </w:rPr>
              <w:t>(</w:t>
            </w:r>
            <w:r w:rsidR="000974A2" w:rsidRPr="00AA6671">
              <w:rPr>
                <w:rFonts w:eastAsia="SimSun"/>
                <w:b/>
              </w:rPr>
              <w:t>Amendment</w:t>
            </w:r>
            <w:r w:rsidR="5B39B659" w:rsidRPr="1A1E623B">
              <w:rPr>
                <w:rFonts w:eastAsia="SimSun"/>
                <w:b/>
                <w:bCs/>
              </w:rPr>
              <w:t>)</w:t>
            </w:r>
            <w:r w:rsidR="000974A2" w:rsidRPr="00AA6671">
              <w:rPr>
                <w:rFonts w:eastAsia="SimSun"/>
                <w:b/>
              </w:rPr>
              <w:t xml:space="preserve"> Bill 20</w:t>
            </w:r>
            <w:r w:rsidR="00B437AB">
              <w:rPr>
                <w:rFonts w:eastAsia="SimSun"/>
                <w:b/>
              </w:rPr>
              <w:t>2</w:t>
            </w:r>
            <w:r w:rsidR="004608B9">
              <w:rPr>
                <w:rFonts w:eastAsia="SimSun"/>
                <w:b/>
              </w:rPr>
              <w:t>3</w:t>
            </w:r>
            <w:r w:rsidR="000974A2" w:rsidRPr="00AA6671">
              <w:rPr>
                <w:rFonts w:eastAsia="SimSun"/>
                <w:b/>
              </w:rPr>
              <w:t>]</w:t>
            </w:r>
          </w:p>
        </w:tc>
      </w:tr>
      <w:tr w:rsidR="006C6932" w:rsidRPr="000974A2" w14:paraId="0F28B688" w14:textId="77777777" w:rsidTr="3653BBEC">
        <w:trPr>
          <w:jc w:val="center"/>
        </w:trPr>
        <w:tc>
          <w:tcPr>
            <w:tcW w:w="846" w:type="dxa"/>
          </w:tcPr>
          <w:p w14:paraId="31D03C7C" w14:textId="77777777" w:rsidR="006C6932" w:rsidRPr="000974A2" w:rsidRDefault="006C6932">
            <w:pPr>
              <w:widowControl w:val="0"/>
              <w:numPr>
                <w:ilvl w:val="0"/>
                <w:numId w:val="2"/>
              </w:numPr>
              <w:jc w:val="both"/>
              <w:rPr>
                <w:rFonts w:eastAsia="PMingLiU"/>
                <w:b/>
              </w:rPr>
            </w:pPr>
          </w:p>
        </w:tc>
        <w:tc>
          <w:tcPr>
            <w:tcW w:w="3260" w:type="dxa"/>
          </w:tcPr>
          <w:p w14:paraId="1CAD3173" w14:textId="28AAE045" w:rsidR="006C6932" w:rsidRPr="000974A2" w:rsidRDefault="006C6932" w:rsidP="006C6932">
            <w:pPr>
              <w:widowControl w:val="0"/>
              <w:jc w:val="both"/>
            </w:pPr>
            <w:r w:rsidRPr="00F232B6">
              <w:rPr>
                <w:lang w:val="en-GB"/>
              </w:rPr>
              <w:t xml:space="preserve">Introduce the </w:t>
            </w:r>
            <w:r>
              <w:rPr>
                <w:lang w:val="en-GB"/>
              </w:rPr>
              <w:t>Enterprise Innovation Scheme (“</w:t>
            </w:r>
            <w:r w:rsidRPr="00F232B6">
              <w:rPr>
                <w:lang w:val="en-GB"/>
              </w:rPr>
              <w:t>EIS</w:t>
            </w:r>
            <w:r>
              <w:rPr>
                <w:lang w:val="en-GB"/>
              </w:rPr>
              <w:t>”)</w:t>
            </w:r>
          </w:p>
        </w:tc>
        <w:tc>
          <w:tcPr>
            <w:tcW w:w="6869" w:type="dxa"/>
          </w:tcPr>
          <w:p w14:paraId="3025ABF4" w14:textId="2BFBFFF0" w:rsidR="00401864" w:rsidRPr="001F65EF" w:rsidRDefault="006C6932" w:rsidP="00A95281">
            <w:pPr>
              <w:widowControl w:val="0"/>
              <w:jc w:val="both"/>
              <w:rPr>
                <w:lang w:val="en-GB"/>
              </w:rPr>
            </w:pPr>
            <w:r w:rsidRPr="001F65EF">
              <w:rPr>
                <w:lang w:val="en-GB"/>
              </w:rPr>
              <w:t>To</w:t>
            </w:r>
            <w:r w:rsidRPr="001F65EF" w:rsidDel="00342BF1">
              <w:rPr>
                <w:lang w:val="en-GB"/>
              </w:rPr>
              <w:t xml:space="preserve"> </w:t>
            </w:r>
            <w:r w:rsidRPr="001F65EF">
              <w:rPr>
                <w:lang w:val="en-GB"/>
              </w:rPr>
              <w:t xml:space="preserve">encourage businesses to engage in </w:t>
            </w:r>
            <w:r w:rsidR="00B76812">
              <w:rPr>
                <w:lang w:val="en-GB"/>
              </w:rPr>
              <w:t>research and development (“</w:t>
            </w:r>
            <w:r w:rsidRPr="001F65EF">
              <w:rPr>
                <w:lang w:val="en-GB"/>
              </w:rPr>
              <w:t>R&amp;D</w:t>
            </w:r>
            <w:r w:rsidR="00B76812">
              <w:rPr>
                <w:lang w:val="en-GB"/>
              </w:rPr>
              <w:t>”)</w:t>
            </w:r>
            <w:r w:rsidRPr="001F65EF">
              <w:rPr>
                <w:lang w:val="en-GB"/>
              </w:rPr>
              <w:t>, innovation and capability development activities</w:t>
            </w:r>
            <w:r w:rsidRPr="001F65EF" w:rsidDel="000F7B5C">
              <w:rPr>
                <w:lang w:val="en-GB"/>
              </w:rPr>
              <w:t>,</w:t>
            </w:r>
            <w:r w:rsidRPr="001F65EF">
              <w:rPr>
                <w:lang w:val="en-GB"/>
              </w:rPr>
              <w:t xml:space="preserve"> the following tax measures will be enhanced or introduced under the EIS:</w:t>
            </w:r>
          </w:p>
          <w:p w14:paraId="670930A4" w14:textId="44F9DC88" w:rsidR="006C6932" w:rsidRPr="001F65EF" w:rsidRDefault="006C6932">
            <w:pPr>
              <w:numPr>
                <w:ilvl w:val="0"/>
                <w:numId w:val="4"/>
              </w:numPr>
              <w:spacing w:beforeLines="40" w:before="96" w:afterLines="40" w:after="96"/>
              <w:jc w:val="both"/>
            </w:pPr>
            <w:r w:rsidRPr="001F65EF">
              <w:t xml:space="preserve">Enhance the tax deduction to 400% for the first $400,000 of staff costs and consumables incurred on qualifying R&amp;D projects conducted in Singapore per </w:t>
            </w:r>
            <w:r w:rsidR="004E3496">
              <w:t>Year of Assessment (“</w:t>
            </w:r>
            <w:r w:rsidRPr="001F65EF">
              <w:t>YA</w:t>
            </w:r>
            <w:r w:rsidR="004E3496">
              <w:t>”)</w:t>
            </w:r>
            <w:r w:rsidRPr="001F65EF">
              <w:t xml:space="preserve"> from YA 2024 to YA 2028. The current tax deduction is 250% under sections 14C and 14D of the </w:t>
            </w:r>
            <w:r w:rsidR="00395D86">
              <w:t>ITA.</w:t>
            </w:r>
          </w:p>
          <w:p w14:paraId="669BE55C" w14:textId="10689100" w:rsidR="006C6932" w:rsidRPr="001F65EF" w:rsidRDefault="006C6932">
            <w:pPr>
              <w:numPr>
                <w:ilvl w:val="0"/>
                <w:numId w:val="4"/>
              </w:numPr>
              <w:spacing w:beforeLines="40" w:before="96" w:afterLines="40" w:after="96"/>
              <w:jc w:val="both"/>
            </w:pPr>
            <w:r w:rsidRPr="001F65EF">
              <w:t>Enhance the tax deduction</w:t>
            </w:r>
            <w:r w:rsidRPr="001F65EF" w:rsidDel="00F56F95">
              <w:t xml:space="preserve"> </w:t>
            </w:r>
            <w:r w:rsidRPr="001F65EF">
              <w:t xml:space="preserve">to 400% for the first $400,000 of qualifying </w:t>
            </w:r>
            <w:r w:rsidR="007C3661">
              <w:t>intellectual property (“</w:t>
            </w:r>
            <w:r w:rsidRPr="001F65EF">
              <w:t>IP</w:t>
            </w:r>
            <w:r w:rsidR="007C3661">
              <w:t>”)</w:t>
            </w:r>
            <w:r w:rsidRPr="001F65EF">
              <w:t xml:space="preserve"> registration costs incurred per YA from YA 2024 to YA 2028. The current tax deduction is 200% for the first $100,000 (and 100% for amounts exceeding $100,000) under section 14A of the ITA.</w:t>
            </w:r>
          </w:p>
          <w:p w14:paraId="05BAD5D7" w14:textId="77777777" w:rsidR="006C6932" w:rsidRPr="001F65EF" w:rsidRDefault="006C6932">
            <w:pPr>
              <w:numPr>
                <w:ilvl w:val="0"/>
                <w:numId w:val="4"/>
              </w:numPr>
              <w:spacing w:beforeLines="40" w:before="96" w:afterLines="40" w:after="96"/>
              <w:jc w:val="both"/>
            </w:pPr>
            <w:r w:rsidRPr="001F65EF">
              <w:t>Enhance the tax allowance/deduction to 400% for the first $400,000 (combined cap) of qualifying expenditure incurred on the acquisition and licensing of IP rights</w:t>
            </w:r>
            <w:r w:rsidRPr="001F65EF" w:rsidDel="00367E2F">
              <w:t xml:space="preserve"> </w:t>
            </w:r>
            <w:r w:rsidRPr="001F65EF">
              <w:t>per YA from YA 2024 to YA 2028. This enhancement will only be available to businesses that generate less than $500 million in revenue in the relevant YA. Currently, the tax allowances/deductions are: (</w:t>
            </w:r>
            <w:proofErr w:type="spellStart"/>
            <w:r w:rsidRPr="001F65EF">
              <w:t>i</w:t>
            </w:r>
            <w:proofErr w:type="spellEnd"/>
            <w:r w:rsidRPr="001F65EF">
              <w:t xml:space="preserve">) 100% writing-down allowance (“WDA”) over a period of five, 10 or 15 years on the acquisition costs of </w:t>
            </w:r>
            <w:r w:rsidRPr="001F65EF">
              <w:lastRenderedPageBreak/>
              <w:t>qualifying IP rights under section 19B of the ITA; and (ii) 200% tax deduction for the first $100,000 (and 100% for amounts exceeding $100,000) of qualifying IP rights licensing expenditure under sections 14 or 14C</w:t>
            </w:r>
            <w:r>
              <w:t>,</w:t>
            </w:r>
            <w:r w:rsidRPr="001F65EF">
              <w:t xml:space="preserve"> and 14U of the ITA. </w:t>
            </w:r>
          </w:p>
          <w:p w14:paraId="6BAA3D4B" w14:textId="77777777" w:rsidR="006C6932" w:rsidRPr="001F65EF" w:rsidRDefault="006C6932">
            <w:pPr>
              <w:numPr>
                <w:ilvl w:val="0"/>
                <w:numId w:val="4"/>
              </w:numPr>
              <w:spacing w:beforeLines="40" w:before="96" w:afterLines="40" w:after="96"/>
              <w:jc w:val="both"/>
            </w:pPr>
            <w:r w:rsidRPr="001F65EF">
              <w:t xml:space="preserve">Enhance the tax deduction to 400% for the first $400,000 of qualifying training </w:t>
            </w:r>
            <w:r w:rsidRPr="001F65EF" w:rsidDel="00307888">
              <w:t xml:space="preserve">expenditure </w:t>
            </w:r>
            <w:r w:rsidRPr="001F65EF">
              <w:t xml:space="preserve">incurred per YA from YA 2024 to YA 2028. The enhancement applies to courses that are eligible for </w:t>
            </w:r>
            <w:proofErr w:type="spellStart"/>
            <w:r w:rsidRPr="001F65EF">
              <w:t>SkillsFuture</w:t>
            </w:r>
            <w:proofErr w:type="spellEnd"/>
            <w:r w:rsidRPr="001F65EF">
              <w:t xml:space="preserve"> Singapore funding and aligned with the Skills Framework. The current tax deduction is 100% on training expenditure incurred, subject to general tax deduction rules under sections 14 and 15 of the </w:t>
            </w:r>
            <w:proofErr w:type="gramStart"/>
            <w:r w:rsidRPr="001F65EF">
              <w:t>ITA</w:t>
            </w:r>
            <w:proofErr w:type="gramEnd"/>
            <w:r w:rsidRPr="001F65EF">
              <w:t>.</w:t>
            </w:r>
          </w:p>
          <w:p w14:paraId="7CFE5C2E" w14:textId="77777777" w:rsidR="006C6932" w:rsidRPr="001F65EF" w:rsidRDefault="006C6932">
            <w:pPr>
              <w:numPr>
                <w:ilvl w:val="0"/>
                <w:numId w:val="4"/>
              </w:numPr>
              <w:spacing w:beforeLines="40" w:before="96" w:afterLines="40" w:after="96"/>
              <w:jc w:val="both"/>
            </w:pPr>
            <w:r w:rsidRPr="001F65EF">
              <w:t>Introduce a 400% tax deduction for up to $50,000 of qualifying innovation expenditure incurred on qualifying innovation projects carried out with polytechnics, the Institute of Technical Education, and other partners per YA from YA 2024 to YA 2028.</w:t>
            </w:r>
          </w:p>
          <w:p w14:paraId="45234D51" w14:textId="527D2C47" w:rsidR="006C6932" w:rsidRPr="001F65EF" w:rsidRDefault="006C6932">
            <w:pPr>
              <w:numPr>
                <w:ilvl w:val="0"/>
                <w:numId w:val="4"/>
              </w:numPr>
              <w:spacing w:beforeLines="40" w:before="96" w:afterLines="40" w:after="96"/>
              <w:jc w:val="both"/>
            </w:pPr>
            <w:r w:rsidRPr="001F65EF">
              <w:t>Allow businesses to, in lieu of tax deductions/allowances, opt for a non-taxable cash payout at a cash conversion ratio of 20% on up to $100,000 of total qualifying expenditure across all qualifying activities in (a) to (e) above per YA. The cash payout option will be</w:t>
            </w:r>
            <w:r w:rsidRPr="001F65EF" w:rsidDel="00DC2023">
              <w:t xml:space="preserve"> </w:t>
            </w:r>
            <w:r w:rsidRPr="001F65EF">
              <w:t xml:space="preserve">capped at $20,000 per </w:t>
            </w:r>
            <w:proofErr w:type="gramStart"/>
            <w:r w:rsidRPr="001F65EF">
              <w:t>YA, and</w:t>
            </w:r>
            <w:proofErr w:type="gramEnd"/>
            <w:r w:rsidRPr="001F65EF">
              <w:t xml:space="preserve"> will only be available to businesses which have at least three full-</w:t>
            </w:r>
            <w:r w:rsidRPr="001F65EF">
              <w:lastRenderedPageBreak/>
              <w:t>time local employees</w:t>
            </w:r>
            <w:r w:rsidRPr="001F65EF">
              <w:rPr>
                <w:rStyle w:val="FootnoteReference"/>
              </w:rPr>
              <w:footnoteReference w:id="2"/>
            </w:r>
            <w:r w:rsidRPr="001F65EF">
              <w:t xml:space="preserve"> (Singapore Citizens or Permanent Residents with CPF contributions) </w:t>
            </w:r>
            <w:r w:rsidR="0029587E">
              <w:t xml:space="preserve">each </w:t>
            </w:r>
            <w:r w:rsidRPr="001F65EF">
              <w:t>earning a gross monthly salary of at least $1,400</w:t>
            </w:r>
            <w:r w:rsidR="0029587E">
              <w:t>, and</w:t>
            </w:r>
            <w:r w:rsidRPr="001F65EF">
              <w:t xml:space="preserve"> in employment for six months or more in the basis period of the relevant YA.</w:t>
            </w:r>
          </w:p>
          <w:p w14:paraId="7659F8F6" w14:textId="77777777" w:rsidR="006C6932" w:rsidRPr="001F65EF" w:rsidRDefault="006C6932">
            <w:pPr>
              <w:numPr>
                <w:ilvl w:val="0"/>
                <w:numId w:val="4"/>
              </w:numPr>
              <w:spacing w:beforeLines="40" w:before="96" w:afterLines="40" w:after="96"/>
              <w:jc w:val="both"/>
            </w:pPr>
            <w:r w:rsidRPr="001F65EF">
              <w:t>The sunset dates for section 14A (Deduction for costs for protecting IP), section 14C (Expenditure on R&amp;D), section 14D (Enhanced deduction for qualifying expenditure on R&amp;D), section 14U (Enhanced deduction for expenditure on licensing IP rights)</w:t>
            </w:r>
            <w:r>
              <w:t xml:space="preserve"> </w:t>
            </w:r>
            <w:r w:rsidRPr="001F65EF">
              <w:t>and section 19B (WDA for IP rights) of the ITA will be extended till YA 2028, in line with the above enhancements.</w:t>
            </w:r>
          </w:p>
          <w:p w14:paraId="560641E1" w14:textId="5415CD3E" w:rsidR="006C6932" w:rsidRPr="00D742A3" w:rsidRDefault="006C6932" w:rsidP="004251D0">
            <w:pPr>
              <w:jc w:val="both"/>
            </w:pPr>
          </w:p>
        </w:tc>
        <w:tc>
          <w:tcPr>
            <w:tcW w:w="2082" w:type="dxa"/>
          </w:tcPr>
          <w:p w14:paraId="3F349EA8" w14:textId="77777777" w:rsidR="006C6932" w:rsidRDefault="000D6534" w:rsidP="006C6932">
            <w:pPr>
              <w:jc w:val="both"/>
            </w:pPr>
            <w:r w:rsidRPr="00E73D45">
              <w:lastRenderedPageBreak/>
              <w:t>Sections 2(1), 8</w:t>
            </w:r>
            <w:proofErr w:type="gramStart"/>
            <w:r w:rsidRPr="00E73D45">
              <w:t>A</w:t>
            </w:r>
            <w:r w:rsidRPr="00426C3A">
              <w:t>(</w:t>
            </w:r>
            <w:proofErr w:type="gramEnd"/>
            <w:r w:rsidRPr="00426C3A">
              <w:t>15) and (16)</w:t>
            </w:r>
            <w:r w:rsidRPr="00E73D45">
              <w:t xml:space="preserve">, 14A, 14C, 14D, </w:t>
            </w:r>
            <w:r w:rsidRPr="00426C3A">
              <w:t>14EA</w:t>
            </w:r>
            <w:r w:rsidRPr="00E73D45">
              <w:t xml:space="preserve"> 14U, 14ZG, 14X(2)(</w:t>
            </w:r>
            <w:r w:rsidRPr="00E73D45">
              <w:rPr>
                <w:i/>
                <w:iCs/>
              </w:rPr>
              <w:t>c</w:t>
            </w:r>
            <w:r w:rsidRPr="00E73D45">
              <w:t xml:space="preserve">), 15(2), 19B, 34G(9) </w:t>
            </w:r>
            <w:r w:rsidRPr="00426C3A">
              <w:t>and (18)</w:t>
            </w:r>
            <w:r w:rsidRPr="00E73D45">
              <w:t>, 37O(15)(</w:t>
            </w:r>
            <w:r w:rsidRPr="00E73D45">
              <w:rPr>
                <w:i/>
                <w:iCs/>
              </w:rPr>
              <w:t>a</w:t>
            </w:r>
            <w:r w:rsidRPr="00E73D45">
              <w:t>), 37Q(2)(</w:t>
            </w:r>
            <w:r w:rsidRPr="00E73D45">
              <w:rPr>
                <w:i/>
                <w:iCs/>
              </w:rPr>
              <w:t>a</w:t>
            </w:r>
            <w:r w:rsidRPr="00E73D45">
              <w:t>), 37R, 37S, 65B(1A), 65</w:t>
            </w:r>
            <w:r w:rsidRPr="00426C3A">
              <w:t>F</w:t>
            </w:r>
            <w:r w:rsidRPr="00E73D45">
              <w:t>(1)(</w:t>
            </w:r>
            <w:r w:rsidRPr="00E73D45">
              <w:rPr>
                <w:i/>
                <w:iCs/>
              </w:rPr>
              <w:t>a</w:t>
            </w:r>
            <w:r w:rsidRPr="00E73D45">
              <w:t xml:space="preserve">), </w:t>
            </w:r>
            <w:r w:rsidRPr="00426C3A">
              <w:t>96(2),</w:t>
            </w:r>
            <w:r w:rsidRPr="00E73D45">
              <w:t xml:space="preserve"> 96A(2), 101(1), 101(2), 104(2), 107(11) and </w:t>
            </w:r>
            <w:r w:rsidRPr="00426C3A">
              <w:t>T</w:t>
            </w:r>
            <w:r w:rsidRPr="00E73D45">
              <w:t xml:space="preserve">hird </w:t>
            </w:r>
            <w:r w:rsidRPr="00426C3A">
              <w:t>S</w:t>
            </w:r>
            <w:r w:rsidRPr="00E73D45">
              <w:t xml:space="preserve">chedule </w:t>
            </w:r>
            <w:r w:rsidRPr="00426C3A">
              <w:t>P</w:t>
            </w:r>
            <w:r w:rsidRPr="00E73D45">
              <w:t>art 2</w:t>
            </w:r>
          </w:p>
          <w:p w14:paraId="46397872" w14:textId="77777777" w:rsidR="00FA6862" w:rsidRDefault="00FA6862" w:rsidP="006C6932">
            <w:pPr>
              <w:jc w:val="both"/>
            </w:pPr>
          </w:p>
          <w:p w14:paraId="491A407C" w14:textId="6E4D21FC" w:rsidR="000B30D9" w:rsidRPr="00A65CF7" w:rsidRDefault="00C01302" w:rsidP="006C6932">
            <w:pPr>
              <w:jc w:val="both"/>
            </w:pPr>
            <w:r>
              <w:t xml:space="preserve"> [Clauses, 10, 12, 13, 14, 19, 22, 25, 32 and 50]</w:t>
            </w:r>
          </w:p>
        </w:tc>
      </w:tr>
      <w:tr w:rsidR="006C6932" w:rsidRPr="000974A2" w14:paraId="5AFD792F" w14:textId="77777777" w:rsidTr="3653BBEC">
        <w:trPr>
          <w:jc w:val="center"/>
        </w:trPr>
        <w:tc>
          <w:tcPr>
            <w:tcW w:w="846" w:type="dxa"/>
          </w:tcPr>
          <w:p w14:paraId="27EF3EF2" w14:textId="77777777" w:rsidR="006C6932" w:rsidRPr="000974A2" w:rsidRDefault="006C6932">
            <w:pPr>
              <w:widowControl w:val="0"/>
              <w:numPr>
                <w:ilvl w:val="0"/>
                <w:numId w:val="2"/>
              </w:numPr>
              <w:jc w:val="both"/>
              <w:rPr>
                <w:rFonts w:eastAsia="PMingLiU"/>
                <w:b/>
              </w:rPr>
            </w:pPr>
          </w:p>
        </w:tc>
        <w:tc>
          <w:tcPr>
            <w:tcW w:w="3260" w:type="dxa"/>
          </w:tcPr>
          <w:p w14:paraId="204EA4F4" w14:textId="3FEA007B" w:rsidR="006C6932" w:rsidRPr="000974A2" w:rsidRDefault="006C6932" w:rsidP="006C6932">
            <w:pPr>
              <w:widowControl w:val="0"/>
              <w:jc w:val="both"/>
              <w:rPr>
                <w:color w:val="000000"/>
              </w:rPr>
            </w:pPr>
            <w:r w:rsidRPr="001F65EF">
              <w:rPr>
                <w:lang w:val="en-GB"/>
              </w:rPr>
              <w:t>Enhance the Double Tax Deduction for Internationalisation (“</w:t>
            </w:r>
            <w:proofErr w:type="spellStart"/>
            <w:r w:rsidRPr="001F65EF">
              <w:rPr>
                <w:lang w:val="en-GB"/>
              </w:rPr>
              <w:t>DTDi</w:t>
            </w:r>
            <w:proofErr w:type="spellEnd"/>
            <w:r w:rsidRPr="001F65EF">
              <w:rPr>
                <w:lang w:val="en-GB"/>
              </w:rPr>
              <w:t>”) Scheme</w:t>
            </w:r>
          </w:p>
        </w:tc>
        <w:tc>
          <w:tcPr>
            <w:tcW w:w="6869" w:type="dxa"/>
          </w:tcPr>
          <w:p w14:paraId="0F21320C" w14:textId="77777777" w:rsidR="006C6932" w:rsidRPr="001F65EF" w:rsidRDefault="006C6932" w:rsidP="00A95281">
            <w:pPr>
              <w:widowControl w:val="0"/>
              <w:jc w:val="both"/>
            </w:pPr>
            <w:r w:rsidRPr="00A95281">
              <w:rPr>
                <w:lang w:val="en-GB"/>
              </w:rPr>
              <w:t xml:space="preserve">Under the </w:t>
            </w:r>
            <w:proofErr w:type="spellStart"/>
            <w:r w:rsidRPr="00A95281">
              <w:rPr>
                <w:lang w:val="en-GB"/>
              </w:rPr>
              <w:t>DTDi</w:t>
            </w:r>
            <w:proofErr w:type="spellEnd"/>
            <w:r w:rsidRPr="00A95281">
              <w:rPr>
                <w:lang w:val="en-GB"/>
              </w:rPr>
              <w:t xml:space="preserve"> scheme, businesses are allowed a tax deduction of 200% on qualifying market expansion and investment development expenses, subject to prior approval</w:t>
            </w:r>
            <w:r w:rsidRPr="00A95281">
              <w:rPr>
                <w:lang w:val="en-GB"/>
              </w:rPr>
              <w:footnoteReference w:id="3"/>
            </w:r>
            <w:r w:rsidRPr="00A95281">
              <w:rPr>
                <w:lang w:val="en-GB"/>
              </w:rPr>
              <w:t xml:space="preserve"> from Enterprise Singapore (“</w:t>
            </w:r>
            <w:proofErr w:type="spellStart"/>
            <w:r w:rsidRPr="00A95281">
              <w:rPr>
                <w:lang w:val="en-GB"/>
              </w:rPr>
              <w:t>EnterpriseSG</w:t>
            </w:r>
            <w:proofErr w:type="spellEnd"/>
            <w:r w:rsidRPr="00A95281">
              <w:rPr>
                <w:lang w:val="en-GB"/>
              </w:rPr>
              <w:t>”) or Singapore</w:t>
            </w:r>
            <w:r w:rsidRPr="001F65EF">
              <w:t xml:space="preserve"> Tourism Board (“STB”). The </w:t>
            </w:r>
            <w:proofErr w:type="spellStart"/>
            <w:r w:rsidRPr="001F65EF">
              <w:t>DTDi</w:t>
            </w:r>
            <w:proofErr w:type="spellEnd"/>
            <w:r w:rsidRPr="001F65EF">
              <w:t xml:space="preserve"> scheme is in place until 31 December 2025.</w:t>
            </w:r>
          </w:p>
          <w:p w14:paraId="0789B527" w14:textId="77777777" w:rsidR="006C6932" w:rsidRPr="001F65EF" w:rsidRDefault="006C6932" w:rsidP="006C6932">
            <w:pPr>
              <w:spacing w:beforeLines="40" w:before="96" w:afterLines="40" w:after="96"/>
              <w:jc w:val="both"/>
            </w:pPr>
          </w:p>
          <w:p w14:paraId="53805963" w14:textId="5CD9ADBA" w:rsidR="006C6932" w:rsidRPr="001F65EF" w:rsidRDefault="006C6932" w:rsidP="004251D0">
            <w:pPr>
              <w:spacing w:beforeLines="40" w:before="96" w:afterLines="40" w:after="96"/>
              <w:jc w:val="both"/>
            </w:pPr>
            <w:r w:rsidRPr="001F65EF">
              <w:lastRenderedPageBreak/>
              <w:t xml:space="preserve">To support businesses in their efforts to overcome initial challenges and build up capabilities in </w:t>
            </w:r>
            <w:proofErr w:type="spellStart"/>
            <w:r w:rsidRPr="001F65EF">
              <w:t>internationalising</w:t>
            </w:r>
            <w:proofErr w:type="spellEnd"/>
            <w:r w:rsidRPr="001F65EF">
              <w:t xml:space="preserve"> via e-commerce, the scope of the </w:t>
            </w:r>
            <w:proofErr w:type="spellStart"/>
            <w:r w:rsidRPr="001F65EF">
              <w:t>DTDi</w:t>
            </w:r>
            <w:proofErr w:type="spellEnd"/>
            <w:r w:rsidRPr="001F65EF">
              <w:t xml:space="preserve"> scheme will be enhanced to include a new qualifying activity “e-commerce campaign” and cover the following e-commerce campaign startup expenses paid to e-commerce platform/service providers:</w:t>
            </w:r>
          </w:p>
          <w:p w14:paraId="7DF20B65" w14:textId="77777777" w:rsidR="006C6932" w:rsidRPr="001F65EF" w:rsidRDefault="006C6932" w:rsidP="004251D0">
            <w:pPr>
              <w:pStyle w:val="ListParagraph"/>
              <w:numPr>
                <w:ilvl w:val="0"/>
                <w:numId w:val="5"/>
              </w:numPr>
              <w:spacing w:beforeLines="40" w:before="96" w:afterLines="40" w:after="96"/>
              <w:contextualSpacing/>
              <w:jc w:val="both"/>
              <w:rPr>
                <w:sz w:val="24"/>
                <w:szCs w:val="24"/>
              </w:rPr>
            </w:pPr>
            <w:r w:rsidRPr="001F65EF">
              <w:rPr>
                <w:sz w:val="24"/>
                <w:szCs w:val="24"/>
                <w:u w:val="single"/>
              </w:rPr>
              <w:t>Business advisory</w:t>
            </w:r>
            <w:r w:rsidRPr="001F65EF">
              <w:rPr>
                <w:sz w:val="24"/>
                <w:szCs w:val="24"/>
              </w:rPr>
              <w:t>: Advisory on market promotion and execution plans (</w:t>
            </w:r>
            <w:proofErr w:type="gramStart"/>
            <w:r w:rsidRPr="001F65EF">
              <w:rPr>
                <w:sz w:val="24"/>
                <w:szCs w:val="24"/>
              </w:rPr>
              <w:t>e.g.</w:t>
            </w:r>
            <w:proofErr w:type="gramEnd"/>
            <w:r w:rsidRPr="001F65EF">
              <w:rPr>
                <w:sz w:val="24"/>
                <w:szCs w:val="24"/>
              </w:rPr>
              <w:t xml:space="preserve"> choice of suitable e-commerce platforms);</w:t>
            </w:r>
          </w:p>
          <w:p w14:paraId="49AC1920" w14:textId="77777777" w:rsidR="006C6932" w:rsidRPr="001F65EF" w:rsidRDefault="006C6932">
            <w:pPr>
              <w:pStyle w:val="ListParagraph"/>
              <w:numPr>
                <w:ilvl w:val="0"/>
                <w:numId w:val="5"/>
              </w:numPr>
              <w:spacing w:beforeLines="40" w:before="96" w:afterLines="40" w:after="96"/>
              <w:contextualSpacing/>
              <w:jc w:val="both"/>
              <w:rPr>
                <w:sz w:val="24"/>
                <w:szCs w:val="24"/>
              </w:rPr>
            </w:pPr>
            <w:r w:rsidRPr="001F65EF">
              <w:rPr>
                <w:sz w:val="24"/>
                <w:szCs w:val="24"/>
                <w:u w:val="single"/>
              </w:rPr>
              <w:t>Account creation</w:t>
            </w:r>
            <w:r w:rsidRPr="001F65EF">
              <w:rPr>
                <w:sz w:val="24"/>
                <w:szCs w:val="24"/>
              </w:rPr>
              <w:t xml:space="preserve">: Assistance with setting up accounts on e-commerce platforms, and the right to sell on e-commerce </w:t>
            </w:r>
            <w:proofErr w:type="gramStart"/>
            <w:r w:rsidRPr="001F65EF">
              <w:rPr>
                <w:sz w:val="24"/>
                <w:szCs w:val="24"/>
              </w:rPr>
              <w:t>platforms;</w:t>
            </w:r>
            <w:proofErr w:type="gramEnd"/>
          </w:p>
          <w:p w14:paraId="6A4CCF24" w14:textId="77777777" w:rsidR="006C6932" w:rsidRPr="001F65EF" w:rsidRDefault="006C6932">
            <w:pPr>
              <w:pStyle w:val="ListParagraph"/>
              <w:numPr>
                <w:ilvl w:val="0"/>
                <w:numId w:val="5"/>
              </w:numPr>
              <w:spacing w:beforeLines="40" w:before="96" w:afterLines="40" w:after="96"/>
              <w:contextualSpacing/>
              <w:jc w:val="both"/>
              <w:rPr>
                <w:sz w:val="24"/>
                <w:szCs w:val="24"/>
              </w:rPr>
            </w:pPr>
            <w:r w:rsidRPr="001F65EF">
              <w:rPr>
                <w:sz w:val="24"/>
                <w:szCs w:val="24"/>
                <w:u w:val="single"/>
              </w:rPr>
              <w:t>Content creation</w:t>
            </w:r>
            <w:r w:rsidRPr="001F65EF">
              <w:rPr>
                <w:sz w:val="24"/>
                <w:szCs w:val="24"/>
              </w:rPr>
              <w:t>: Design of e-commerce campaign publicity materials (</w:t>
            </w:r>
            <w:proofErr w:type="gramStart"/>
            <w:r w:rsidRPr="001F65EF">
              <w:rPr>
                <w:sz w:val="24"/>
                <w:szCs w:val="24"/>
              </w:rPr>
              <w:t>e.g.</w:t>
            </w:r>
            <w:proofErr w:type="gramEnd"/>
            <w:r w:rsidRPr="001F65EF">
              <w:rPr>
                <w:sz w:val="24"/>
                <w:szCs w:val="24"/>
              </w:rPr>
              <w:t xml:space="preserve"> e-store banners, online product images); and</w:t>
            </w:r>
          </w:p>
          <w:p w14:paraId="1FB39536" w14:textId="77777777" w:rsidR="006C6932" w:rsidRPr="001F65EF" w:rsidRDefault="006C6932">
            <w:pPr>
              <w:pStyle w:val="ListParagraph"/>
              <w:numPr>
                <w:ilvl w:val="0"/>
                <w:numId w:val="5"/>
              </w:numPr>
              <w:spacing w:beforeLines="40" w:before="96" w:afterLines="40" w:after="96"/>
              <w:contextualSpacing/>
              <w:jc w:val="both"/>
              <w:rPr>
                <w:sz w:val="24"/>
                <w:szCs w:val="24"/>
              </w:rPr>
            </w:pPr>
            <w:r w:rsidRPr="001F65EF">
              <w:rPr>
                <w:sz w:val="24"/>
                <w:szCs w:val="24"/>
                <w:u w:val="single"/>
              </w:rPr>
              <w:t>Product listing and placement</w:t>
            </w:r>
            <w:r w:rsidRPr="001F65EF">
              <w:rPr>
                <w:sz w:val="24"/>
                <w:szCs w:val="24"/>
              </w:rPr>
              <w:t>: Uploading content on products/services to e-commerce platforms, and selection of suitable frequency and timing to display content on products/services.</w:t>
            </w:r>
          </w:p>
          <w:p w14:paraId="476FF921" w14:textId="77777777" w:rsidR="006C6932" w:rsidRPr="001F65EF" w:rsidRDefault="006C6932" w:rsidP="006C6932">
            <w:pPr>
              <w:spacing w:beforeLines="40" w:before="96" w:afterLines="40" w:after="96"/>
              <w:contextualSpacing/>
              <w:jc w:val="both"/>
            </w:pPr>
          </w:p>
          <w:p w14:paraId="2DB54FE4" w14:textId="77777777" w:rsidR="006C6932" w:rsidRPr="001F65EF" w:rsidRDefault="006C6932" w:rsidP="006C6932">
            <w:pPr>
              <w:spacing w:beforeLines="40" w:before="96" w:afterLines="40" w:after="96"/>
              <w:jc w:val="both"/>
            </w:pPr>
            <w:r w:rsidRPr="001F65EF">
              <w:t xml:space="preserve">Prior approval is required from </w:t>
            </w:r>
            <w:proofErr w:type="spellStart"/>
            <w:r w:rsidRPr="001F65EF">
              <w:t>EnterpriseSG</w:t>
            </w:r>
            <w:proofErr w:type="spellEnd"/>
            <w:r w:rsidRPr="001F65EF">
              <w:t xml:space="preserve"> to enjoy </w:t>
            </w:r>
            <w:proofErr w:type="spellStart"/>
            <w:r w:rsidRPr="001F65EF">
              <w:t>DTDi</w:t>
            </w:r>
            <w:proofErr w:type="spellEnd"/>
            <w:r w:rsidRPr="001F65EF">
              <w:t xml:space="preserve"> on the new qualifying activity. For each business, </w:t>
            </w:r>
            <w:proofErr w:type="spellStart"/>
            <w:r w:rsidRPr="001F65EF">
              <w:t>EnterpriseSG</w:t>
            </w:r>
            <w:proofErr w:type="spellEnd"/>
            <w:r w:rsidRPr="001F65EF">
              <w:t xml:space="preserve"> will only approve </w:t>
            </w:r>
            <w:proofErr w:type="spellStart"/>
            <w:r w:rsidRPr="001F65EF">
              <w:t>DTDi</w:t>
            </w:r>
            <w:proofErr w:type="spellEnd"/>
            <w:r w:rsidRPr="001F65EF">
              <w:t xml:space="preserve"> support for e-commerce campaigns for a maximum period of one year applied on a per-country basis. </w:t>
            </w:r>
          </w:p>
          <w:p w14:paraId="21761B5A" w14:textId="25EAA059" w:rsidR="006C6932" w:rsidRPr="001F65EF" w:rsidRDefault="006C6932" w:rsidP="006C6932">
            <w:pPr>
              <w:spacing w:beforeLines="40" w:before="96" w:afterLines="40" w:after="96"/>
              <w:jc w:val="both"/>
            </w:pPr>
            <w:r>
              <w:lastRenderedPageBreak/>
              <w:t xml:space="preserve">The proposed amendments will take effect from 15 February 2023. </w:t>
            </w:r>
          </w:p>
          <w:p w14:paraId="207D399E" w14:textId="77777777" w:rsidR="006C6932" w:rsidRPr="000974A2" w:rsidRDefault="006C6932" w:rsidP="006C6932">
            <w:pPr>
              <w:autoSpaceDE w:val="0"/>
              <w:autoSpaceDN w:val="0"/>
              <w:adjustRightInd w:val="0"/>
              <w:contextualSpacing/>
            </w:pPr>
          </w:p>
        </w:tc>
        <w:tc>
          <w:tcPr>
            <w:tcW w:w="2082" w:type="dxa"/>
          </w:tcPr>
          <w:p w14:paraId="675D73CD" w14:textId="77777777" w:rsidR="006C6932" w:rsidRDefault="299900B9" w:rsidP="006C6932">
            <w:pPr>
              <w:jc w:val="both"/>
            </w:pPr>
            <w:r>
              <w:lastRenderedPageBreak/>
              <w:t>Section 14B</w:t>
            </w:r>
          </w:p>
          <w:p w14:paraId="260AF1B9" w14:textId="77777777" w:rsidR="00F80FAE" w:rsidRDefault="00F80FAE" w:rsidP="006C6932">
            <w:pPr>
              <w:jc w:val="both"/>
            </w:pPr>
          </w:p>
          <w:p w14:paraId="7F181C2A" w14:textId="00881E76" w:rsidR="008F4705" w:rsidRPr="000974A2" w:rsidRDefault="008F4705" w:rsidP="006C6932">
            <w:pPr>
              <w:jc w:val="both"/>
            </w:pPr>
            <w:r>
              <w:t xml:space="preserve">[Clause </w:t>
            </w:r>
            <w:r w:rsidR="00E636C1">
              <w:t>11</w:t>
            </w:r>
            <w:r>
              <w:t>]</w:t>
            </w:r>
          </w:p>
        </w:tc>
      </w:tr>
      <w:tr w:rsidR="006C6932" w:rsidRPr="000974A2" w14:paraId="379B5C23" w14:textId="77777777" w:rsidTr="3653BBEC">
        <w:trPr>
          <w:jc w:val="center"/>
        </w:trPr>
        <w:tc>
          <w:tcPr>
            <w:tcW w:w="846" w:type="dxa"/>
          </w:tcPr>
          <w:p w14:paraId="491ED8B7" w14:textId="77777777" w:rsidR="006C6932" w:rsidRPr="000974A2" w:rsidRDefault="006C6932">
            <w:pPr>
              <w:widowControl w:val="0"/>
              <w:numPr>
                <w:ilvl w:val="0"/>
                <w:numId w:val="2"/>
              </w:numPr>
              <w:jc w:val="both"/>
              <w:rPr>
                <w:rFonts w:eastAsia="PMingLiU"/>
                <w:b/>
              </w:rPr>
            </w:pPr>
          </w:p>
        </w:tc>
        <w:tc>
          <w:tcPr>
            <w:tcW w:w="3260" w:type="dxa"/>
          </w:tcPr>
          <w:p w14:paraId="3F6CB9C0" w14:textId="772CA0F1" w:rsidR="006C6932" w:rsidRPr="000974A2" w:rsidRDefault="006C6932" w:rsidP="006C6932">
            <w:pPr>
              <w:pStyle w:val="Default"/>
              <w:jc w:val="both"/>
            </w:pPr>
            <w:r w:rsidRPr="001F65EF">
              <w:t>Provide an option to accelerate the write-off of the cost of acquiring Plant and Machinery (“P&amp;M”)</w:t>
            </w:r>
          </w:p>
        </w:tc>
        <w:tc>
          <w:tcPr>
            <w:tcW w:w="6869" w:type="dxa"/>
          </w:tcPr>
          <w:p w14:paraId="06273178" w14:textId="77777777" w:rsidR="006C6932" w:rsidRDefault="006C6932" w:rsidP="00A95281">
            <w:pPr>
              <w:widowControl w:val="0"/>
              <w:jc w:val="both"/>
            </w:pPr>
            <w:r w:rsidRPr="009960E5">
              <w:t>Businesses that incur capital expenditure on the acquisition of P&amp;M may claim capital allowance (“CA”) under section 19 (</w:t>
            </w:r>
            <w:proofErr w:type="gramStart"/>
            <w:r w:rsidRPr="009960E5">
              <w:t>i.e.</w:t>
            </w:r>
            <w:proofErr w:type="gramEnd"/>
            <w:r w:rsidRPr="009960E5">
              <w:t xml:space="preserve"> write-off over the working life of the assets as specified in the Sixth Schedule) or section 19A (i.e. </w:t>
            </w:r>
            <w:r w:rsidRPr="00A95281">
              <w:rPr>
                <w:lang w:val="en-GB"/>
              </w:rPr>
              <w:t>write</w:t>
            </w:r>
            <w:r w:rsidRPr="009960E5">
              <w:t>-off over one or three years) of the ITA.</w:t>
            </w:r>
          </w:p>
          <w:p w14:paraId="28A17C12" w14:textId="77777777" w:rsidR="006C6932" w:rsidRPr="009960E5" w:rsidRDefault="006C6932" w:rsidP="006C6932">
            <w:pPr>
              <w:pStyle w:val="ContentinTable"/>
              <w:spacing w:beforeLines="40" w:before="96" w:afterLines="40" w:after="96" w:line="240" w:lineRule="auto"/>
              <w:rPr>
                <w:sz w:val="24"/>
              </w:rPr>
            </w:pPr>
          </w:p>
          <w:p w14:paraId="56219036" w14:textId="039217DC" w:rsidR="006C6932" w:rsidRPr="009960E5" w:rsidRDefault="006C6932" w:rsidP="006C6932">
            <w:pPr>
              <w:pStyle w:val="ContentinTable"/>
              <w:spacing w:beforeLines="40" w:before="96" w:afterLines="40" w:after="96" w:line="240" w:lineRule="auto"/>
              <w:rPr>
                <w:sz w:val="24"/>
              </w:rPr>
            </w:pPr>
            <w:r w:rsidRPr="009960E5">
              <w:rPr>
                <w:sz w:val="24"/>
              </w:rPr>
              <w:t xml:space="preserve">To provide temporary broad-based support to </w:t>
            </w:r>
            <w:r w:rsidRPr="009960E5" w:rsidDel="005716A3">
              <w:rPr>
                <w:sz w:val="24"/>
              </w:rPr>
              <w:t>businesses</w:t>
            </w:r>
            <w:r w:rsidRPr="009960E5">
              <w:rPr>
                <w:sz w:val="24"/>
              </w:rPr>
              <w:t xml:space="preserve"> during this period of restructuring, businesses that incur capital expenditure on the acquisition of P&amp;M in the basis period for YA</w:t>
            </w:r>
            <w:r>
              <w:rPr>
                <w:sz w:val="24"/>
              </w:rPr>
              <w:t xml:space="preserve"> </w:t>
            </w:r>
            <w:r w:rsidRPr="009960E5">
              <w:rPr>
                <w:sz w:val="24"/>
              </w:rPr>
              <w:t>2024 (</w:t>
            </w:r>
            <w:proofErr w:type="gramStart"/>
            <w:r w:rsidRPr="009960E5">
              <w:rPr>
                <w:sz w:val="24"/>
              </w:rPr>
              <w:t>i.e.</w:t>
            </w:r>
            <w:proofErr w:type="gramEnd"/>
            <w:r w:rsidRPr="009960E5">
              <w:rPr>
                <w:sz w:val="24"/>
              </w:rPr>
              <w:t xml:space="preserve"> financial year ending in 2023) will have an option to accelerate the write-off of the cost of acquiring such P&amp;M over two years. This option, if exercised, is irrevocable.</w:t>
            </w:r>
            <w:r>
              <w:rPr>
                <w:sz w:val="24"/>
              </w:rPr>
              <w:t xml:space="preserve"> </w:t>
            </w:r>
            <w:r w:rsidRPr="009960E5">
              <w:rPr>
                <w:sz w:val="24"/>
              </w:rPr>
              <w:t>The rates of accelerated CA allowed are as follows:</w:t>
            </w:r>
          </w:p>
          <w:p w14:paraId="60A64101" w14:textId="77777777" w:rsidR="006C6932" w:rsidRPr="009960E5" w:rsidRDefault="006C6932">
            <w:pPr>
              <w:pStyle w:val="ContentinTable"/>
              <w:numPr>
                <w:ilvl w:val="0"/>
                <w:numId w:val="6"/>
              </w:numPr>
              <w:spacing w:beforeLines="40" w:before="96" w:afterLines="40" w:after="96" w:line="240" w:lineRule="auto"/>
              <w:rPr>
                <w:sz w:val="24"/>
              </w:rPr>
            </w:pPr>
            <w:r w:rsidRPr="009960E5">
              <w:rPr>
                <w:sz w:val="24"/>
              </w:rPr>
              <w:t>75% of the cost incurred to be written off in the first year (</w:t>
            </w:r>
            <w:proofErr w:type="gramStart"/>
            <w:r w:rsidRPr="009960E5">
              <w:rPr>
                <w:sz w:val="24"/>
              </w:rPr>
              <w:t>i.e.</w:t>
            </w:r>
            <w:proofErr w:type="gramEnd"/>
            <w:r w:rsidRPr="009960E5">
              <w:rPr>
                <w:sz w:val="24"/>
              </w:rPr>
              <w:t xml:space="preserve"> YA</w:t>
            </w:r>
            <w:r>
              <w:rPr>
                <w:sz w:val="24"/>
              </w:rPr>
              <w:t xml:space="preserve"> </w:t>
            </w:r>
            <w:r w:rsidRPr="009960E5">
              <w:rPr>
                <w:sz w:val="24"/>
              </w:rPr>
              <w:t>2024); and</w:t>
            </w:r>
          </w:p>
          <w:p w14:paraId="6518B7F3" w14:textId="77777777" w:rsidR="006C6932" w:rsidRDefault="006C6932">
            <w:pPr>
              <w:pStyle w:val="ContentinTable"/>
              <w:numPr>
                <w:ilvl w:val="0"/>
                <w:numId w:val="6"/>
              </w:numPr>
              <w:spacing w:beforeLines="40" w:before="96" w:afterLines="40" w:after="96" w:line="240" w:lineRule="auto"/>
              <w:rPr>
                <w:sz w:val="24"/>
              </w:rPr>
            </w:pPr>
            <w:r w:rsidRPr="009960E5">
              <w:rPr>
                <w:sz w:val="24"/>
              </w:rPr>
              <w:t>25% of the cost incurred to be written-off in the second year (</w:t>
            </w:r>
            <w:proofErr w:type="gramStart"/>
            <w:r w:rsidRPr="009960E5">
              <w:rPr>
                <w:sz w:val="24"/>
              </w:rPr>
              <w:t>i.e.</w:t>
            </w:r>
            <w:proofErr w:type="gramEnd"/>
            <w:r w:rsidRPr="009960E5">
              <w:rPr>
                <w:sz w:val="24"/>
              </w:rPr>
              <w:t xml:space="preserve"> YA</w:t>
            </w:r>
            <w:r>
              <w:rPr>
                <w:sz w:val="24"/>
              </w:rPr>
              <w:t xml:space="preserve"> </w:t>
            </w:r>
            <w:r w:rsidRPr="009960E5">
              <w:rPr>
                <w:sz w:val="24"/>
              </w:rPr>
              <w:t>2025).</w:t>
            </w:r>
          </w:p>
          <w:p w14:paraId="0055D766" w14:textId="77777777" w:rsidR="006C6932" w:rsidRDefault="006C6932" w:rsidP="006C6932">
            <w:pPr>
              <w:pStyle w:val="ContentinTable"/>
              <w:spacing w:beforeLines="40" w:before="96" w:afterLines="40" w:after="96" w:line="240" w:lineRule="auto"/>
              <w:ind w:firstLine="34"/>
              <w:rPr>
                <w:sz w:val="24"/>
              </w:rPr>
            </w:pPr>
          </w:p>
          <w:p w14:paraId="2B1E3347" w14:textId="77777777" w:rsidR="006C6932" w:rsidRDefault="006C6932" w:rsidP="00635E2A">
            <w:pPr>
              <w:pStyle w:val="ContentinTable"/>
              <w:spacing w:beforeLines="40" w:before="96" w:afterLines="40" w:after="96" w:line="240" w:lineRule="auto"/>
              <w:ind w:firstLine="34"/>
              <w:rPr>
                <w:sz w:val="24"/>
              </w:rPr>
            </w:pPr>
            <w:r>
              <w:rPr>
                <w:sz w:val="24"/>
              </w:rPr>
              <w:t xml:space="preserve">No deferment of CA claim is allowed under </w:t>
            </w:r>
            <w:r w:rsidRPr="00F232B6">
              <w:rPr>
                <w:sz w:val="24"/>
              </w:rPr>
              <w:t>this</w:t>
            </w:r>
            <w:r>
              <w:rPr>
                <w:sz w:val="24"/>
              </w:rPr>
              <w:t xml:space="preserve"> option.</w:t>
            </w:r>
          </w:p>
          <w:p w14:paraId="3D1F49ED" w14:textId="7A690CD5" w:rsidR="000619D7" w:rsidRPr="000974A2" w:rsidRDefault="000619D7" w:rsidP="00635E2A">
            <w:pPr>
              <w:pStyle w:val="ContentinTable"/>
              <w:spacing w:beforeLines="40" w:before="96" w:afterLines="40" w:after="96" w:line="240" w:lineRule="auto"/>
              <w:ind w:firstLine="34"/>
            </w:pPr>
          </w:p>
        </w:tc>
        <w:tc>
          <w:tcPr>
            <w:tcW w:w="2082" w:type="dxa"/>
          </w:tcPr>
          <w:p w14:paraId="2AB556B1" w14:textId="77777777" w:rsidR="006C6932" w:rsidRDefault="6A9A2AA1" w:rsidP="3D972487">
            <w:pPr>
              <w:pStyle w:val="ContentinTable"/>
              <w:spacing w:before="0" w:after="0" w:line="240" w:lineRule="auto"/>
              <w:rPr>
                <w:color w:val="000000" w:themeColor="text1"/>
                <w:sz w:val="24"/>
              </w:rPr>
            </w:pPr>
            <w:r w:rsidRPr="3D972487">
              <w:rPr>
                <w:color w:val="000000" w:themeColor="text1"/>
                <w:sz w:val="24"/>
              </w:rPr>
              <w:t>Section 19A</w:t>
            </w:r>
          </w:p>
          <w:p w14:paraId="02A0DFF2" w14:textId="77777777" w:rsidR="00F80FAE" w:rsidRDefault="00F80FAE" w:rsidP="3D972487">
            <w:pPr>
              <w:pStyle w:val="ContentinTable"/>
              <w:spacing w:before="0" w:after="0" w:line="240" w:lineRule="auto"/>
              <w:rPr>
                <w:color w:val="000000" w:themeColor="text1"/>
                <w:sz w:val="24"/>
              </w:rPr>
            </w:pPr>
          </w:p>
          <w:p w14:paraId="7463E6D4" w14:textId="01054BF2" w:rsidR="005D63E9" w:rsidRPr="000974A2" w:rsidRDefault="005D63E9" w:rsidP="3D972487">
            <w:pPr>
              <w:pStyle w:val="ContentinTable"/>
              <w:spacing w:before="0" w:after="0" w:line="240" w:lineRule="auto"/>
              <w:rPr>
                <w:color w:val="000000" w:themeColor="text1"/>
                <w:sz w:val="24"/>
              </w:rPr>
            </w:pPr>
            <w:r>
              <w:rPr>
                <w:color w:val="000000" w:themeColor="text1"/>
                <w:sz w:val="24"/>
              </w:rPr>
              <w:t xml:space="preserve">[Clause </w:t>
            </w:r>
            <w:r w:rsidR="00E636C1">
              <w:rPr>
                <w:color w:val="000000" w:themeColor="text1"/>
                <w:sz w:val="24"/>
              </w:rPr>
              <w:t>24</w:t>
            </w:r>
            <w:r>
              <w:rPr>
                <w:color w:val="000000" w:themeColor="text1"/>
                <w:sz w:val="24"/>
              </w:rPr>
              <w:t>]</w:t>
            </w:r>
          </w:p>
        </w:tc>
      </w:tr>
      <w:tr w:rsidR="006C6932" w:rsidRPr="000974A2" w14:paraId="7106D1D8" w14:textId="77777777" w:rsidTr="3653BBEC">
        <w:trPr>
          <w:jc w:val="center"/>
        </w:trPr>
        <w:tc>
          <w:tcPr>
            <w:tcW w:w="846" w:type="dxa"/>
          </w:tcPr>
          <w:p w14:paraId="5E2A6DC6" w14:textId="77777777" w:rsidR="006C6932" w:rsidRPr="000974A2" w:rsidRDefault="006C6932">
            <w:pPr>
              <w:widowControl w:val="0"/>
              <w:numPr>
                <w:ilvl w:val="0"/>
                <w:numId w:val="2"/>
              </w:numPr>
              <w:jc w:val="both"/>
              <w:rPr>
                <w:rFonts w:eastAsia="PMingLiU"/>
                <w:b/>
              </w:rPr>
            </w:pPr>
          </w:p>
        </w:tc>
        <w:tc>
          <w:tcPr>
            <w:tcW w:w="3260" w:type="dxa"/>
          </w:tcPr>
          <w:p w14:paraId="1CC23493" w14:textId="25C0C602" w:rsidR="006C6932" w:rsidRPr="000974A2" w:rsidRDefault="006C6932" w:rsidP="006C6932">
            <w:pPr>
              <w:widowControl w:val="0"/>
              <w:jc w:val="both"/>
              <w:rPr>
                <w:color w:val="000000"/>
              </w:rPr>
            </w:pPr>
            <w:r w:rsidRPr="001F65EF">
              <w:rPr>
                <w:lang w:val="en-GB"/>
              </w:rPr>
              <w:t>Provide an option to accelerate the deduction for Renovation or Refurbishment (“R&amp;R”) expenditure</w:t>
            </w:r>
          </w:p>
        </w:tc>
        <w:tc>
          <w:tcPr>
            <w:tcW w:w="6869" w:type="dxa"/>
          </w:tcPr>
          <w:p w14:paraId="6F78F757" w14:textId="77777777" w:rsidR="006C6932" w:rsidRPr="001F65EF" w:rsidRDefault="006C6932" w:rsidP="00A95281">
            <w:pPr>
              <w:widowControl w:val="0"/>
              <w:jc w:val="both"/>
              <w:rPr>
                <w:lang w:val="en-GB"/>
              </w:rPr>
            </w:pPr>
            <w:r w:rsidRPr="001F65EF">
              <w:rPr>
                <w:lang w:val="en-GB"/>
              </w:rPr>
              <w:t>Under section 14N of the ITA, businesses that incur qualifying expenditure on R&amp;R may claim tax deduction on such expenditure over three consecutive YAs on a straight-line basis, starting from the YA relating to the basis period in which the R&amp;R expenditure is incurred. A cap of $300,000 for every relevant period of the three consecutive YAs applies.</w:t>
            </w:r>
          </w:p>
          <w:p w14:paraId="0EB5C2CA" w14:textId="77777777" w:rsidR="006C6932" w:rsidRPr="001F65EF" w:rsidRDefault="006C6932" w:rsidP="006C6932">
            <w:pPr>
              <w:pStyle w:val="ContentinTable"/>
              <w:spacing w:beforeLines="40" w:before="96" w:afterLines="40" w:after="96" w:line="240" w:lineRule="auto"/>
              <w:rPr>
                <w:sz w:val="24"/>
                <w:lang w:val="en-GB"/>
              </w:rPr>
            </w:pPr>
          </w:p>
          <w:p w14:paraId="6DFE6E5C" w14:textId="16AA0640"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 xml:space="preserve">To provide temporary broad-based support to </w:t>
            </w:r>
            <w:r w:rsidRPr="001F65EF" w:rsidDel="005716A3">
              <w:rPr>
                <w:sz w:val="24"/>
                <w:lang w:val="en-GB"/>
              </w:rPr>
              <w:t>businesses</w:t>
            </w:r>
            <w:r w:rsidRPr="001F65EF">
              <w:rPr>
                <w:sz w:val="24"/>
                <w:lang w:val="en-GB"/>
              </w:rPr>
              <w:t xml:space="preserve"> during this period of restructuring, businesses that incur qualifying expenditure on R&amp;R during the basis period for YA 2024 (</w:t>
            </w:r>
            <w:proofErr w:type="gramStart"/>
            <w:r w:rsidRPr="001F65EF">
              <w:rPr>
                <w:sz w:val="24"/>
                <w:lang w:val="en-GB"/>
              </w:rPr>
              <w:t>i.e.</w:t>
            </w:r>
            <w:proofErr w:type="gramEnd"/>
            <w:r w:rsidRPr="001F65EF">
              <w:rPr>
                <w:sz w:val="24"/>
                <w:lang w:val="en-GB"/>
              </w:rPr>
              <w:t xml:space="preserve"> financial year ending in 2023) will have an option to claim R&amp;R deduction in one YA (i.e. accelerated R&amp;R deduction). The cap of $300,000 for every relevant period of three consecutive YAs will still apply. This option, if exercised, is irrevocable.</w:t>
            </w:r>
          </w:p>
          <w:p w14:paraId="24B02BA3" w14:textId="7E0658FF" w:rsidR="006C6932" w:rsidRPr="000974A2" w:rsidRDefault="006C6932" w:rsidP="006C6932">
            <w:pPr>
              <w:ind w:right="113"/>
              <w:jc w:val="both"/>
            </w:pPr>
          </w:p>
        </w:tc>
        <w:tc>
          <w:tcPr>
            <w:tcW w:w="2082" w:type="dxa"/>
          </w:tcPr>
          <w:p w14:paraId="74C041F5" w14:textId="77777777" w:rsidR="006C6932" w:rsidRDefault="1279A490" w:rsidP="006C6932">
            <w:pPr>
              <w:ind w:right="113"/>
              <w:jc w:val="both"/>
            </w:pPr>
            <w:r>
              <w:t>Section 14N</w:t>
            </w:r>
          </w:p>
          <w:p w14:paraId="41F963D8" w14:textId="77777777" w:rsidR="00F80FAE" w:rsidRDefault="00F80FAE" w:rsidP="006C6932">
            <w:pPr>
              <w:ind w:right="113"/>
              <w:jc w:val="both"/>
            </w:pPr>
          </w:p>
          <w:p w14:paraId="1586D785" w14:textId="433F236F" w:rsidR="00D5473D" w:rsidRPr="000974A2" w:rsidRDefault="00D5473D" w:rsidP="006C6932">
            <w:pPr>
              <w:ind w:right="113"/>
              <w:jc w:val="both"/>
            </w:pPr>
            <w:r>
              <w:t xml:space="preserve">[Clause </w:t>
            </w:r>
            <w:r w:rsidR="00E636C1">
              <w:t>17</w:t>
            </w:r>
            <w:r>
              <w:t>]</w:t>
            </w:r>
          </w:p>
        </w:tc>
      </w:tr>
      <w:tr w:rsidR="006C6932" w:rsidRPr="000974A2" w14:paraId="4F7401C3" w14:textId="77777777" w:rsidTr="3653BBEC">
        <w:trPr>
          <w:trHeight w:val="329"/>
          <w:jc w:val="center"/>
        </w:trPr>
        <w:tc>
          <w:tcPr>
            <w:tcW w:w="846" w:type="dxa"/>
          </w:tcPr>
          <w:p w14:paraId="2DAD4514" w14:textId="77777777" w:rsidR="006C6932" w:rsidRPr="000974A2" w:rsidRDefault="006C6932">
            <w:pPr>
              <w:widowControl w:val="0"/>
              <w:numPr>
                <w:ilvl w:val="0"/>
                <w:numId w:val="2"/>
              </w:numPr>
              <w:jc w:val="both"/>
              <w:rPr>
                <w:rFonts w:eastAsia="PMingLiU"/>
                <w:b/>
              </w:rPr>
            </w:pPr>
          </w:p>
        </w:tc>
        <w:tc>
          <w:tcPr>
            <w:tcW w:w="3260" w:type="dxa"/>
          </w:tcPr>
          <w:p w14:paraId="54DCBB5A" w14:textId="77777777" w:rsidR="006C6932" w:rsidRPr="001F65EF" w:rsidRDefault="006C6932" w:rsidP="00A95281">
            <w:pPr>
              <w:widowControl w:val="0"/>
              <w:jc w:val="both"/>
              <w:rPr>
                <w:lang w:val="en-GB"/>
              </w:rPr>
            </w:pPr>
            <w:r w:rsidRPr="001F65EF">
              <w:rPr>
                <w:lang w:val="en-GB"/>
              </w:rPr>
              <w:t>Extend the IP Development Incentive (“IDI”)</w:t>
            </w:r>
          </w:p>
          <w:p w14:paraId="6B3FE29C" w14:textId="59A61038" w:rsidR="006C6932" w:rsidRPr="000974A2" w:rsidRDefault="006C6932" w:rsidP="006C6932">
            <w:pPr>
              <w:pStyle w:val="Default"/>
              <w:jc w:val="both"/>
            </w:pPr>
          </w:p>
        </w:tc>
        <w:tc>
          <w:tcPr>
            <w:tcW w:w="6869" w:type="dxa"/>
          </w:tcPr>
          <w:p w14:paraId="330C5652" w14:textId="3480CA20" w:rsidR="006C6932" w:rsidRDefault="006C6932" w:rsidP="00A95281">
            <w:pPr>
              <w:widowControl w:val="0"/>
              <w:jc w:val="both"/>
              <w:rPr>
                <w:lang w:val="en-GB"/>
              </w:rPr>
            </w:pPr>
            <w:r w:rsidRPr="00F232B6">
              <w:rPr>
                <w:lang w:val="en-GB"/>
              </w:rPr>
              <w:t>The IDI scheme accords concessionary ta</w:t>
            </w:r>
            <w:r w:rsidRPr="006C486F">
              <w:rPr>
                <w:lang w:val="en-GB"/>
              </w:rPr>
              <w:t xml:space="preserve">x rates of 5% or 10% </w:t>
            </w:r>
            <w:r w:rsidR="00A44387" w:rsidRPr="006C486F">
              <w:rPr>
                <w:lang w:val="en-GB"/>
              </w:rPr>
              <w:t xml:space="preserve">on </w:t>
            </w:r>
            <w:r w:rsidR="00A44387" w:rsidRPr="00426C3A">
              <w:rPr>
                <w:lang w:val="en-GB"/>
              </w:rPr>
              <w:t>a percentage of</w:t>
            </w:r>
            <w:r w:rsidR="00A44387" w:rsidRPr="006C486F">
              <w:rPr>
                <w:lang w:val="en-GB"/>
              </w:rPr>
              <w:t xml:space="preserve"> qualifying IP income</w:t>
            </w:r>
            <w:r w:rsidRPr="006C486F">
              <w:rPr>
                <w:lang w:val="en-GB"/>
              </w:rPr>
              <w:t>.</w:t>
            </w:r>
          </w:p>
          <w:p w14:paraId="7B584D78" w14:textId="77777777" w:rsidR="006C6932" w:rsidRDefault="006C6932" w:rsidP="006C6932">
            <w:pPr>
              <w:pStyle w:val="ContentinTable"/>
              <w:spacing w:beforeLines="40" w:before="96" w:afterLines="40" w:after="96" w:line="240" w:lineRule="auto"/>
              <w:rPr>
                <w:sz w:val="24"/>
                <w:lang w:val="en-GB"/>
              </w:rPr>
            </w:pPr>
          </w:p>
          <w:p w14:paraId="05A0F1F4" w14:textId="0F9A0D2F" w:rsidR="006C6932" w:rsidRDefault="006C6932" w:rsidP="006C6932">
            <w:pPr>
              <w:pStyle w:val="ContentinTable"/>
              <w:spacing w:beforeLines="40" w:before="96" w:afterLines="40" w:after="96" w:line="240" w:lineRule="auto"/>
              <w:rPr>
                <w:sz w:val="24"/>
                <w:lang w:val="en-GB"/>
              </w:rPr>
            </w:pPr>
            <w:r w:rsidRPr="001F65EF">
              <w:rPr>
                <w:sz w:val="24"/>
                <w:lang w:val="en-GB"/>
              </w:rPr>
              <w:t>To continue supporting the use and commercialisation of IP rights arising from R&amp;D activities in Singapore</w:t>
            </w:r>
            <w:r w:rsidR="00F54BD8">
              <w:rPr>
                <w:sz w:val="24"/>
                <w:lang w:val="en-GB"/>
              </w:rPr>
              <w:t xml:space="preserve">, </w:t>
            </w:r>
            <w:r w:rsidRPr="001F65EF">
              <w:rPr>
                <w:sz w:val="24"/>
                <w:lang w:val="en-GB"/>
              </w:rPr>
              <w:t>the IDI will be extended for five years till 31 December 2028.</w:t>
            </w:r>
          </w:p>
          <w:p w14:paraId="4BC95197" w14:textId="109C5CF0" w:rsidR="006C6932" w:rsidRPr="000974A2" w:rsidRDefault="006C6932" w:rsidP="006C6932">
            <w:pPr>
              <w:jc w:val="both"/>
            </w:pPr>
          </w:p>
        </w:tc>
        <w:tc>
          <w:tcPr>
            <w:tcW w:w="2082" w:type="dxa"/>
          </w:tcPr>
          <w:p w14:paraId="1993CFC8" w14:textId="77777777" w:rsidR="006C6932" w:rsidRDefault="70464EB3" w:rsidP="006C6932">
            <w:pPr>
              <w:pStyle w:val="Default"/>
              <w:jc w:val="both"/>
            </w:pPr>
            <w:r>
              <w:t>Section 43X</w:t>
            </w:r>
          </w:p>
          <w:p w14:paraId="435926AA" w14:textId="77777777" w:rsidR="00F80FAE" w:rsidRDefault="00F80FAE" w:rsidP="006C6932">
            <w:pPr>
              <w:pStyle w:val="Default"/>
              <w:jc w:val="both"/>
            </w:pPr>
          </w:p>
          <w:p w14:paraId="054BFEA0" w14:textId="683F3837" w:rsidR="00BA54D9" w:rsidRPr="000974A2" w:rsidRDefault="00BA54D9" w:rsidP="006C6932">
            <w:pPr>
              <w:pStyle w:val="Default"/>
              <w:jc w:val="both"/>
            </w:pPr>
            <w:r>
              <w:t xml:space="preserve">[Clause </w:t>
            </w:r>
            <w:r w:rsidR="007F454A">
              <w:t>37</w:t>
            </w:r>
            <w:r>
              <w:t>]</w:t>
            </w:r>
          </w:p>
        </w:tc>
      </w:tr>
      <w:tr w:rsidR="006C6932" w:rsidRPr="000974A2" w14:paraId="34E4F656" w14:textId="77777777" w:rsidTr="3653BBEC">
        <w:trPr>
          <w:jc w:val="center"/>
        </w:trPr>
        <w:tc>
          <w:tcPr>
            <w:tcW w:w="846" w:type="dxa"/>
          </w:tcPr>
          <w:p w14:paraId="3074742D" w14:textId="77777777" w:rsidR="006C6932" w:rsidRPr="000974A2" w:rsidRDefault="006C6932">
            <w:pPr>
              <w:widowControl w:val="0"/>
              <w:numPr>
                <w:ilvl w:val="0"/>
                <w:numId w:val="2"/>
              </w:numPr>
              <w:jc w:val="both"/>
              <w:rPr>
                <w:rFonts w:eastAsia="PMingLiU"/>
                <w:b/>
              </w:rPr>
            </w:pPr>
          </w:p>
        </w:tc>
        <w:tc>
          <w:tcPr>
            <w:tcW w:w="3260" w:type="dxa"/>
          </w:tcPr>
          <w:p w14:paraId="0A6ECCC6" w14:textId="23F86B30" w:rsidR="006C6932" w:rsidRPr="001F65EF" w:rsidRDefault="006C6932" w:rsidP="00A95281">
            <w:pPr>
              <w:widowControl w:val="0"/>
              <w:jc w:val="both"/>
              <w:rPr>
                <w:lang w:val="en-GB"/>
              </w:rPr>
            </w:pPr>
            <w:r w:rsidRPr="001F65EF">
              <w:rPr>
                <w:lang w:val="en-GB"/>
              </w:rPr>
              <w:t xml:space="preserve">Extend and </w:t>
            </w:r>
            <w:r w:rsidR="00ED7F7D">
              <w:rPr>
                <w:lang w:val="en-GB"/>
              </w:rPr>
              <w:t>r</w:t>
            </w:r>
            <w:r w:rsidRPr="001F65EF">
              <w:rPr>
                <w:lang w:val="en-GB"/>
              </w:rPr>
              <w:t>efine the Qualifying Debt Securities (“QDS”) Scheme</w:t>
            </w:r>
          </w:p>
          <w:p w14:paraId="57B28512" w14:textId="77777777" w:rsidR="006C6932" w:rsidRPr="001F65EF" w:rsidRDefault="006C6932" w:rsidP="006C6932">
            <w:pPr>
              <w:pStyle w:val="ContentinTable"/>
              <w:spacing w:beforeLines="40" w:before="96" w:afterLines="40" w:after="96" w:line="240" w:lineRule="auto"/>
              <w:rPr>
                <w:sz w:val="24"/>
                <w:lang w:val="en-GB"/>
              </w:rPr>
            </w:pPr>
          </w:p>
          <w:p w14:paraId="7E99B01F" w14:textId="072647C2" w:rsidR="006C6932" w:rsidRPr="000974A2" w:rsidRDefault="006C6932" w:rsidP="006C6932">
            <w:pPr>
              <w:pStyle w:val="Default"/>
              <w:jc w:val="both"/>
            </w:pPr>
          </w:p>
        </w:tc>
        <w:tc>
          <w:tcPr>
            <w:tcW w:w="6869" w:type="dxa"/>
          </w:tcPr>
          <w:p w14:paraId="76A7E5C4" w14:textId="77777777" w:rsidR="006C6932" w:rsidRPr="001F65EF" w:rsidRDefault="006C6932" w:rsidP="00A95281">
            <w:pPr>
              <w:widowControl w:val="0"/>
              <w:jc w:val="both"/>
              <w:rPr>
                <w:rFonts w:eastAsiaTheme="minorEastAsia"/>
              </w:rPr>
            </w:pPr>
            <w:r w:rsidRPr="001F65EF">
              <w:rPr>
                <w:rFonts w:eastAsiaTheme="minorEastAsia"/>
              </w:rPr>
              <w:t>The QDS scheme offers the following tax concessions on qualifying income from QDS:</w:t>
            </w:r>
          </w:p>
          <w:p w14:paraId="2226956E" w14:textId="77777777" w:rsidR="006C6932" w:rsidRPr="001F65EF" w:rsidRDefault="006C6932">
            <w:pPr>
              <w:pStyle w:val="ListParagraph"/>
              <w:numPr>
                <w:ilvl w:val="0"/>
                <w:numId w:val="7"/>
              </w:numPr>
              <w:autoSpaceDE w:val="0"/>
              <w:autoSpaceDN w:val="0"/>
              <w:adjustRightInd w:val="0"/>
              <w:spacing w:beforeLines="40" w:before="96" w:afterLines="40" w:after="96"/>
              <w:contextualSpacing/>
              <w:jc w:val="both"/>
              <w:rPr>
                <w:rFonts w:eastAsiaTheme="minorEastAsia"/>
                <w:sz w:val="24"/>
                <w:szCs w:val="24"/>
              </w:rPr>
            </w:pPr>
            <w:r w:rsidRPr="001F65EF">
              <w:rPr>
                <w:rFonts w:eastAsiaTheme="minorEastAsia"/>
                <w:sz w:val="24"/>
                <w:szCs w:val="24"/>
              </w:rPr>
              <w:t>10% concessionary tax rate for qualifying companies and bodies of persons in Singapore; and</w:t>
            </w:r>
          </w:p>
          <w:p w14:paraId="3D3F4EF0" w14:textId="77777777" w:rsidR="006C6932" w:rsidRPr="001F65EF" w:rsidRDefault="006C6932">
            <w:pPr>
              <w:pStyle w:val="ListParagraph"/>
              <w:numPr>
                <w:ilvl w:val="0"/>
                <w:numId w:val="7"/>
              </w:numPr>
              <w:autoSpaceDE w:val="0"/>
              <w:autoSpaceDN w:val="0"/>
              <w:adjustRightInd w:val="0"/>
              <w:spacing w:beforeLines="40" w:before="96" w:afterLines="40" w:after="96"/>
              <w:contextualSpacing/>
              <w:jc w:val="both"/>
              <w:rPr>
                <w:rFonts w:eastAsiaTheme="minorEastAsia"/>
                <w:sz w:val="24"/>
                <w:szCs w:val="24"/>
              </w:rPr>
            </w:pPr>
            <w:r w:rsidRPr="39FF46E8">
              <w:rPr>
                <w:rFonts w:eastAsiaTheme="minorEastAsia"/>
                <w:sz w:val="24"/>
                <w:szCs w:val="24"/>
              </w:rPr>
              <w:t>Tax exemption for qualifying non-residents and qualifying individuals.</w:t>
            </w:r>
          </w:p>
          <w:p w14:paraId="40C42CF2" w14:textId="77777777" w:rsidR="006C6932" w:rsidRPr="001F65EF" w:rsidRDefault="006C6932" w:rsidP="006C6932">
            <w:pPr>
              <w:pStyle w:val="ListParagraph"/>
              <w:autoSpaceDE w:val="0"/>
              <w:autoSpaceDN w:val="0"/>
              <w:adjustRightInd w:val="0"/>
              <w:spacing w:beforeLines="40" w:before="96" w:afterLines="40" w:after="96"/>
              <w:jc w:val="both"/>
              <w:rPr>
                <w:rFonts w:eastAsiaTheme="minorHAnsi"/>
                <w:sz w:val="24"/>
                <w:szCs w:val="24"/>
              </w:rPr>
            </w:pPr>
          </w:p>
          <w:p w14:paraId="40FD1F00" w14:textId="77777777" w:rsidR="006C6932" w:rsidRPr="001F65EF" w:rsidRDefault="006C6932" w:rsidP="006C6932">
            <w:pPr>
              <w:autoSpaceDE w:val="0"/>
              <w:autoSpaceDN w:val="0"/>
              <w:adjustRightInd w:val="0"/>
              <w:spacing w:beforeLines="40" w:before="96" w:afterLines="40" w:after="96"/>
              <w:jc w:val="both"/>
              <w:rPr>
                <w:rFonts w:eastAsiaTheme="minorEastAsia"/>
              </w:rPr>
            </w:pPr>
            <w:r w:rsidRPr="001F65EF">
              <w:rPr>
                <w:rFonts w:eastAsiaTheme="minorEastAsia"/>
              </w:rPr>
              <w:t>To qualify as QDS, debt securities must be substantially arranged</w:t>
            </w:r>
            <w:r w:rsidRPr="001F65EF" w:rsidDel="00416DDC">
              <w:rPr>
                <w:rFonts w:eastAsiaTheme="minorEastAsia"/>
              </w:rPr>
              <w:t xml:space="preserve"> </w:t>
            </w:r>
            <w:r w:rsidRPr="001F65EF">
              <w:rPr>
                <w:rFonts w:eastAsiaTheme="minorEastAsia"/>
              </w:rPr>
              <w:t xml:space="preserve">in Singapore as follows: </w:t>
            </w:r>
          </w:p>
          <w:p w14:paraId="499B09BB" w14:textId="77777777" w:rsidR="006C6932" w:rsidRPr="001F65EF" w:rsidRDefault="006C6932">
            <w:pPr>
              <w:pStyle w:val="ListParagraph"/>
              <w:numPr>
                <w:ilvl w:val="0"/>
                <w:numId w:val="8"/>
              </w:numPr>
              <w:autoSpaceDE w:val="0"/>
              <w:autoSpaceDN w:val="0"/>
              <w:adjustRightInd w:val="0"/>
              <w:spacing w:beforeLines="40" w:before="96" w:afterLines="40" w:after="96"/>
              <w:contextualSpacing/>
              <w:jc w:val="both"/>
              <w:rPr>
                <w:rFonts w:eastAsiaTheme="minorEastAsia"/>
                <w:sz w:val="24"/>
                <w:szCs w:val="24"/>
              </w:rPr>
            </w:pPr>
            <w:r w:rsidRPr="001F65EF">
              <w:rPr>
                <w:rFonts w:eastAsiaTheme="minorEastAsia"/>
                <w:sz w:val="24"/>
                <w:szCs w:val="24"/>
              </w:rPr>
              <w:t xml:space="preserve">All debt securities must be substantially arranged by a </w:t>
            </w:r>
            <w:r>
              <w:rPr>
                <w:rFonts w:eastAsiaTheme="minorEastAsia"/>
                <w:sz w:val="24"/>
                <w:szCs w:val="24"/>
              </w:rPr>
              <w:t>F</w:t>
            </w:r>
            <w:r w:rsidRPr="00F232B6">
              <w:rPr>
                <w:rFonts w:eastAsiaTheme="minorEastAsia"/>
                <w:sz w:val="24"/>
                <w:szCs w:val="24"/>
              </w:rPr>
              <w:t xml:space="preserve">inancial </w:t>
            </w:r>
            <w:r>
              <w:rPr>
                <w:rFonts w:eastAsiaTheme="minorEastAsia"/>
                <w:sz w:val="24"/>
                <w:szCs w:val="24"/>
              </w:rPr>
              <w:t>S</w:t>
            </w:r>
            <w:r w:rsidRPr="00F232B6">
              <w:rPr>
                <w:rFonts w:eastAsiaTheme="minorEastAsia"/>
                <w:sz w:val="24"/>
                <w:szCs w:val="24"/>
              </w:rPr>
              <w:t xml:space="preserve">ector </w:t>
            </w:r>
            <w:r>
              <w:rPr>
                <w:rFonts w:eastAsiaTheme="minorEastAsia"/>
                <w:sz w:val="24"/>
                <w:szCs w:val="24"/>
              </w:rPr>
              <w:t>I</w:t>
            </w:r>
            <w:r w:rsidRPr="00F232B6">
              <w:rPr>
                <w:rFonts w:eastAsiaTheme="minorEastAsia"/>
                <w:sz w:val="24"/>
                <w:szCs w:val="24"/>
              </w:rPr>
              <w:t>ncentive</w:t>
            </w:r>
            <w:r>
              <w:rPr>
                <w:rFonts w:eastAsiaTheme="minorEastAsia"/>
                <w:sz w:val="24"/>
                <w:szCs w:val="24"/>
              </w:rPr>
              <w:t xml:space="preserve"> (“FSI”)</w:t>
            </w:r>
            <w:r w:rsidRPr="001F65EF">
              <w:rPr>
                <w:rFonts w:eastAsiaTheme="minorEastAsia"/>
                <w:sz w:val="24"/>
                <w:szCs w:val="24"/>
              </w:rPr>
              <w:t xml:space="preserve"> (capital market) company or a </w:t>
            </w:r>
            <w:r>
              <w:rPr>
                <w:rFonts w:eastAsiaTheme="minorEastAsia"/>
                <w:sz w:val="24"/>
                <w:szCs w:val="24"/>
              </w:rPr>
              <w:t>FSI</w:t>
            </w:r>
            <w:r w:rsidRPr="001F65EF">
              <w:rPr>
                <w:rFonts w:eastAsiaTheme="minorEastAsia"/>
                <w:sz w:val="24"/>
                <w:szCs w:val="24"/>
              </w:rPr>
              <w:t xml:space="preserve"> (standard tier) company (collectively referred to as “FSI </w:t>
            </w:r>
            <w:r w:rsidRPr="00F232B6">
              <w:rPr>
                <w:rFonts w:eastAsiaTheme="minorEastAsia"/>
                <w:sz w:val="24"/>
                <w:szCs w:val="24"/>
              </w:rPr>
              <w:t>compan</w:t>
            </w:r>
            <w:r>
              <w:rPr>
                <w:rFonts w:eastAsiaTheme="minorEastAsia"/>
                <w:sz w:val="24"/>
                <w:szCs w:val="24"/>
              </w:rPr>
              <w:t>ies</w:t>
            </w:r>
            <w:r w:rsidRPr="001F65EF">
              <w:rPr>
                <w:rFonts w:eastAsiaTheme="minorEastAsia"/>
                <w:sz w:val="24"/>
                <w:szCs w:val="24"/>
              </w:rPr>
              <w:t>”); and</w:t>
            </w:r>
          </w:p>
          <w:p w14:paraId="5BD136C1" w14:textId="77777777" w:rsidR="006C6932" w:rsidRPr="00635E2A" w:rsidRDefault="006C6932">
            <w:pPr>
              <w:pStyle w:val="ListParagraph"/>
              <w:numPr>
                <w:ilvl w:val="0"/>
                <w:numId w:val="8"/>
              </w:numPr>
              <w:autoSpaceDE w:val="0"/>
              <w:autoSpaceDN w:val="0"/>
              <w:adjustRightInd w:val="0"/>
              <w:spacing w:beforeLines="40" w:before="96" w:afterLines="40" w:after="96"/>
              <w:contextualSpacing/>
              <w:jc w:val="both"/>
              <w:rPr>
                <w:sz w:val="24"/>
                <w:szCs w:val="24"/>
              </w:rPr>
            </w:pPr>
            <w:r w:rsidRPr="39FF46E8">
              <w:rPr>
                <w:rFonts w:eastAsiaTheme="minorEastAsia"/>
                <w:sz w:val="24"/>
                <w:szCs w:val="24"/>
              </w:rPr>
              <w:t>For insurance-linked securities (“ILS”)</w:t>
            </w:r>
            <w:r w:rsidRPr="00635E2A">
              <w:rPr>
                <w:rStyle w:val="FootnoteReference"/>
                <w:rFonts w:eastAsiaTheme="minorEastAsia"/>
                <w:sz w:val="24"/>
                <w:szCs w:val="24"/>
              </w:rPr>
              <w:footnoteReference w:id="4"/>
            </w:r>
            <w:r w:rsidRPr="39FF46E8">
              <w:rPr>
                <w:rFonts w:eastAsiaTheme="minorEastAsia"/>
                <w:sz w:val="24"/>
                <w:szCs w:val="24"/>
              </w:rPr>
              <w:t xml:space="preserve"> that are unable to meet the condition in (a) above, at least 20% of the ILS issuance costs incurred by the issuer is paid to Singapore businesses.</w:t>
            </w:r>
          </w:p>
          <w:p w14:paraId="18062CE4" w14:textId="77777777" w:rsidR="007475E1" w:rsidRPr="001F65EF" w:rsidRDefault="007475E1" w:rsidP="00635E2A">
            <w:pPr>
              <w:pStyle w:val="ListParagraph"/>
              <w:autoSpaceDE w:val="0"/>
              <w:autoSpaceDN w:val="0"/>
              <w:adjustRightInd w:val="0"/>
              <w:spacing w:beforeLines="40" w:before="96" w:afterLines="40" w:after="96"/>
              <w:contextualSpacing/>
              <w:jc w:val="both"/>
              <w:rPr>
                <w:sz w:val="24"/>
                <w:szCs w:val="24"/>
              </w:rPr>
            </w:pPr>
          </w:p>
          <w:p w14:paraId="04EDE019" w14:textId="20825B5D"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The QDS scheme is scheduled to lapse after 31 December 2023.</w:t>
            </w:r>
          </w:p>
          <w:p w14:paraId="34BAD422" w14:textId="77777777" w:rsidR="006C6932" w:rsidRPr="001F65EF" w:rsidRDefault="006C6932" w:rsidP="006C6932">
            <w:pPr>
              <w:pStyle w:val="ContentinTable"/>
              <w:spacing w:beforeLines="40" w:before="96" w:afterLines="40" w:after="96" w:line="240" w:lineRule="auto"/>
              <w:rPr>
                <w:sz w:val="24"/>
                <w:lang w:val="en-GB"/>
              </w:rPr>
            </w:pPr>
          </w:p>
          <w:p w14:paraId="7E68E6E7" w14:textId="79DE1BEB" w:rsidR="006C6932" w:rsidRPr="001F65EF" w:rsidRDefault="006C6932" w:rsidP="560677D7">
            <w:pPr>
              <w:pStyle w:val="ContentinTable"/>
              <w:spacing w:beforeLines="40" w:before="96" w:afterLines="40" w:after="96" w:line="240" w:lineRule="auto"/>
              <w:rPr>
                <w:sz w:val="24"/>
                <w:lang w:val="en-GB"/>
              </w:rPr>
            </w:pPr>
            <w:r w:rsidRPr="560677D7">
              <w:rPr>
                <w:sz w:val="24"/>
                <w:lang w:val="en-GB"/>
              </w:rPr>
              <w:lastRenderedPageBreak/>
              <w:t xml:space="preserve">To continue supporting the development of Singapore’s debt market, the QDS scheme will be extended till 31 December 2028. The scope of qualifying income under the QDS scheme will be streamlined and clarified such that it includes all payments in relation to early redemption of a QDS.   </w:t>
            </w:r>
          </w:p>
          <w:p w14:paraId="196F21DC" w14:textId="77777777" w:rsidR="006C6932" w:rsidRPr="001F65EF" w:rsidRDefault="006C6932" w:rsidP="006C6932">
            <w:pPr>
              <w:pStyle w:val="ContentinTable"/>
              <w:spacing w:beforeLines="40" w:before="96" w:afterLines="40" w:after="96" w:line="240" w:lineRule="auto"/>
              <w:rPr>
                <w:sz w:val="24"/>
                <w:lang w:val="en-GB"/>
              </w:rPr>
            </w:pPr>
          </w:p>
          <w:p w14:paraId="5772A4CD"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 xml:space="preserve">To ensure continued relevance, the requirement that the QDS </w:t>
            </w:r>
            <w:proofErr w:type="gramStart"/>
            <w:r w:rsidRPr="001F65EF">
              <w:rPr>
                <w:sz w:val="24"/>
                <w:lang w:val="en-GB"/>
              </w:rPr>
              <w:t>has to</w:t>
            </w:r>
            <w:proofErr w:type="gramEnd"/>
            <w:r w:rsidRPr="001F65EF">
              <w:rPr>
                <w:sz w:val="24"/>
                <w:lang w:val="en-GB"/>
              </w:rPr>
              <w:t xml:space="preserve"> be substantially arranged in Singapore will be rationalised, as follows:</w:t>
            </w:r>
          </w:p>
          <w:p w14:paraId="642928EF" w14:textId="77777777" w:rsidR="006C6932" w:rsidRPr="001F65EF" w:rsidRDefault="006C6932">
            <w:pPr>
              <w:pStyle w:val="ContentinTable"/>
              <w:numPr>
                <w:ilvl w:val="0"/>
                <w:numId w:val="9"/>
              </w:numPr>
              <w:spacing w:beforeLines="40" w:before="96" w:afterLines="40" w:after="96" w:line="240" w:lineRule="auto"/>
              <w:rPr>
                <w:sz w:val="24"/>
                <w:lang w:val="en-GB"/>
              </w:rPr>
            </w:pPr>
            <w:r w:rsidRPr="001F65EF">
              <w:rPr>
                <w:sz w:val="24"/>
                <w:lang w:val="en-GB"/>
              </w:rPr>
              <w:t xml:space="preserve">For all debt securities that are issued on or after 15 February 2023, they must be substantially arranged in Singapore by a financial institution holding a specified licence (instead of a FSI company). To facilitate transition and prevent uncertainty for ongoing QDS issuances, </w:t>
            </w:r>
            <w:r w:rsidRPr="00F232B6">
              <w:rPr>
                <w:sz w:val="24"/>
                <w:lang w:val="en-GB"/>
              </w:rPr>
              <w:t>QDS that</w:t>
            </w:r>
            <w:r>
              <w:rPr>
                <w:sz w:val="24"/>
                <w:lang w:val="en-GB"/>
              </w:rPr>
              <w:t xml:space="preserve"> are</w:t>
            </w:r>
            <w:r w:rsidRPr="001F65EF">
              <w:rPr>
                <w:sz w:val="24"/>
                <w:lang w:val="en-GB"/>
              </w:rPr>
              <w:t xml:space="preserve"> substantially arranged by a FSI company will </w:t>
            </w:r>
            <w:r>
              <w:rPr>
                <w:sz w:val="24"/>
                <w:lang w:val="en-GB"/>
              </w:rPr>
              <w:t xml:space="preserve">continue to qualify </w:t>
            </w:r>
            <w:r w:rsidRPr="001F65EF">
              <w:rPr>
                <w:sz w:val="24"/>
                <w:lang w:val="en-GB"/>
              </w:rPr>
              <w:t xml:space="preserve">until 31 December 2023.  </w:t>
            </w:r>
          </w:p>
          <w:p w14:paraId="1A143836" w14:textId="77777777" w:rsidR="006C6932" w:rsidRPr="001F65EF" w:rsidRDefault="006C6932">
            <w:pPr>
              <w:pStyle w:val="ContentinTable"/>
              <w:numPr>
                <w:ilvl w:val="0"/>
                <w:numId w:val="9"/>
              </w:numPr>
              <w:spacing w:beforeLines="40" w:before="96" w:afterLines="40" w:after="96" w:line="240" w:lineRule="auto"/>
              <w:rPr>
                <w:sz w:val="24"/>
                <w:lang w:val="en-GB"/>
              </w:rPr>
            </w:pPr>
            <w:r w:rsidRPr="001F65EF">
              <w:rPr>
                <w:sz w:val="24"/>
                <w:lang w:val="en-GB"/>
              </w:rPr>
              <w:t>For ILS that are issued on or after 1 January 2024, if they are unable to meet the condition in (a) above, at least 30% of the ILS issuance costs incurred by the issuer must be paid to Singapore businesses.</w:t>
            </w:r>
          </w:p>
          <w:p w14:paraId="28DAD951" w14:textId="52C9148D" w:rsidR="006C6932" w:rsidRPr="000974A2" w:rsidRDefault="006C6932" w:rsidP="006C6932">
            <w:pPr>
              <w:pStyle w:val="Default"/>
              <w:jc w:val="both"/>
            </w:pPr>
          </w:p>
        </w:tc>
        <w:tc>
          <w:tcPr>
            <w:tcW w:w="2082" w:type="dxa"/>
          </w:tcPr>
          <w:p w14:paraId="09B589B9" w14:textId="77777777" w:rsidR="00D42E64" w:rsidRDefault="00D42E64" w:rsidP="00D42E64">
            <w:pPr>
              <w:pStyle w:val="Default"/>
              <w:jc w:val="both"/>
            </w:pPr>
            <w:r w:rsidRPr="00E22111">
              <w:lastRenderedPageBreak/>
              <w:t xml:space="preserve">Sections 10(20A) </w:t>
            </w:r>
            <w:r w:rsidRPr="00426C3A">
              <w:t>and (23)</w:t>
            </w:r>
            <w:r w:rsidRPr="00E22111">
              <w:t>, 13, 43H, 45 and 45A</w:t>
            </w:r>
          </w:p>
          <w:p w14:paraId="00881781" w14:textId="77777777" w:rsidR="000E12B4" w:rsidRDefault="000E12B4" w:rsidP="00D42E64">
            <w:pPr>
              <w:pStyle w:val="Default"/>
              <w:jc w:val="both"/>
            </w:pPr>
          </w:p>
          <w:p w14:paraId="2A8512D0" w14:textId="204DBD40" w:rsidR="000E12B4" w:rsidRPr="000974A2" w:rsidRDefault="000E12B4" w:rsidP="00D42E64">
            <w:pPr>
              <w:pStyle w:val="Default"/>
              <w:jc w:val="both"/>
            </w:pPr>
            <w:r>
              <w:t xml:space="preserve">[Clauses </w:t>
            </w:r>
            <w:r w:rsidR="745FFDE6">
              <w:t>2</w:t>
            </w:r>
            <w:r>
              <w:t>, 7</w:t>
            </w:r>
            <w:r w:rsidR="00E730CE">
              <w:t xml:space="preserve">, </w:t>
            </w:r>
            <w:r w:rsidR="00DB4506">
              <w:t>34</w:t>
            </w:r>
            <w:r w:rsidR="00E730CE">
              <w:t xml:space="preserve">, </w:t>
            </w:r>
            <w:r w:rsidR="00DB4506">
              <w:t>38</w:t>
            </w:r>
            <w:r w:rsidR="00CA7A54">
              <w:t xml:space="preserve">, </w:t>
            </w:r>
            <w:r w:rsidR="00DB4506">
              <w:t>39</w:t>
            </w:r>
            <w:r w:rsidR="00CA7A54">
              <w:t>]</w:t>
            </w:r>
          </w:p>
          <w:p w14:paraId="6ECFCC7E" w14:textId="01E1EFF8" w:rsidR="006C6932" w:rsidRPr="000974A2" w:rsidRDefault="006C6932" w:rsidP="006C6932">
            <w:pPr>
              <w:pStyle w:val="Default"/>
              <w:jc w:val="both"/>
            </w:pPr>
          </w:p>
        </w:tc>
      </w:tr>
      <w:tr w:rsidR="006C6932" w:rsidRPr="000974A2" w14:paraId="5B3B56E2" w14:textId="77777777" w:rsidTr="3653BBEC">
        <w:trPr>
          <w:jc w:val="center"/>
        </w:trPr>
        <w:tc>
          <w:tcPr>
            <w:tcW w:w="846" w:type="dxa"/>
          </w:tcPr>
          <w:p w14:paraId="4ECAFEC2" w14:textId="77777777" w:rsidR="006C6932" w:rsidRPr="000974A2" w:rsidRDefault="006C6932">
            <w:pPr>
              <w:widowControl w:val="0"/>
              <w:numPr>
                <w:ilvl w:val="0"/>
                <w:numId w:val="2"/>
              </w:numPr>
              <w:jc w:val="both"/>
              <w:rPr>
                <w:rFonts w:eastAsia="PMingLiU"/>
                <w:b/>
              </w:rPr>
            </w:pPr>
          </w:p>
        </w:tc>
        <w:tc>
          <w:tcPr>
            <w:tcW w:w="3260" w:type="dxa"/>
          </w:tcPr>
          <w:p w14:paraId="38487243" w14:textId="77777777" w:rsidR="006C6932" w:rsidRDefault="006C6932" w:rsidP="00A95281">
            <w:pPr>
              <w:widowControl w:val="0"/>
              <w:jc w:val="both"/>
              <w:rPr>
                <w:lang w:val="en-GB"/>
              </w:rPr>
            </w:pPr>
            <w:r w:rsidRPr="001F65EF">
              <w:rPr>
                <w:lang w:val="en-GB"/>
              </w:rPr>
              <w:t>Extend the tax exemption on income derived by primary dealers from trading in Singapore Government Securities (“SGS”)</w:t>
            </w:r>
          </w:p>
          <w:p w14:paraId="5C9C372F" w14:textId="58A3A4CC" w:rsidR="006C6932" w:rsidRPr="000974A2" w:rsidRDefault="006C6932" w:rsidP="006C6932">
            <w:pPr>
              <w:pStyle w:val="Default"/>
              <w:jc w:val="both"/>
            </w:pPr>
          </w:p>
        </w:tc>
        <w:tc>
          <w:tcPr>
            <w:tcW w:w="6869" w:type="dxa"/>
          </w:tcPr>
          <w:p w14:paraId="4E5437ED" w14:textId="77777777" w:rsidR="006C6932" w:rsidRDefault="006C6932" w:rsidP="00A95281">
            <w:pPr>
              <w:widowControl w:val="0"/>
              <w:jc w:val="both"/>
              <w:rPr>
                <w:lang w:val="en-GB"/>
              </w:rPr>
            </w:pPr>
            <w:r w:rsidRPr="001F65EF">
              <w:rPr>
                <w:lang w:val="en-GB"/>
              </w:rPr>
              <w:t>Tax exemption is granted on income derived by primary dealers</w:t>
            </w:r>
            <w:r w:rsidRPr="00A95281">
              <w:rPr>
                <w:rStyle w:val="FootnoteReference"/>
                <w:lang w:val="en-GB"/>
              </w:rPr>
              <w:footnoteReference w:id="5"/>
            </w:r>
            <w:r w:rsidRPr="001F65EF">
              <w:rPr>
                <w:lang w:val="en-GB"/>
              </w:rPr>
              <w:t xml:space="preserve"> from trading in SGS. The tax exemption is scheduled to lapse after 31 December 2023.</w:t>
            </w:r>
          </w:p>
          <w:p w14:paraId="1FB2217B" w14:textId="77777777" w:rsidR="005C52CF" w:rsidRPr="001F65EF" w:rsidRDefault="005C52CF" w:rsidP="006C6932">
            <w:pPr>
              <w:pStyle w:val="ContentinTable"/>
              <w:spacing w:beforeLines="40" w:before="96" w:afterLines="40" w:after="96" w:line="240" w:lineRule="auto"/>
              <w:rPr>
                <w:sz w:val="24"/>
                <w:lang w:val="en-GB"/>
              </w:rPr>
            </w:pPr>
          </w:p>
          <w:p w14:paraId="0FF252CC" w14:textId="4A9EEDC3" w:rsidR="006C6932" w:rsidRPr="001F65EF" w:rsidRDefault="006C6932" w:rsidP="560677D7">
            <w:pPr>
              <w:pStyle w:val="ContentinTable"/>
              <w:spacing w:beforeLines="40" w:before="96" w:afterLines="40" w:after="96" w:line="240" w:lineRule="auto"/>
              <w:rPr>
                <w:sz w:val="24"/>
                <w:lang w:val="en-GB"/>
              </w:rPr>
            </w:pPr>
            <w:r w:rsidRPr="560677D7">
              <w:rPr>
                <w:sz w:val="24"/>
                <w:lang w:val="en-GB"/>
              </w:rPr>
              <w:t xml:space="preserve">To continue supporting primary dealers and encourage trading in SGS, the tax exemption on income derived by primary dealers from trading in SGS will be extended till 31 December 2028. </w:t>
            </w:r>
          </w:p>
          <w:p w14:paraId="09026A47" w14:textId="3A8342BA" w:rsidR="006C6932" w:rsidRPr="004166FC" w:rsidRDefault="006C6932" w:rsidP="00A95281">
            <w:pPr>
              <w:widowControl w:val="0"/>
              <w:jc w:val="both"/>
            </w:pPr>
          </w:p>
        </w:tc>
        <w:tc>
          <w:tcPr>
            <w:tcW w:w="2082" w:type="dxa"/>
          </w:tcPr>
          <w:p w14:paraId="28A1B41D" w14:textId="77777777" w:rsidR="006C6932" w:rsidRDefault="00B10490" w:rsidP="006C6932">
            <w:pPr>
              <w:pStyle w:val="wordsection1"/>
              <w:jc w:val="both"/>
              <w:rPr>
                <w:lang w:val="en-US"/>
              </w:rPr>
            </w:pPr>
            <w:r>
              <w:rPr>
                <w:lang w:val="en-US"/>
              </w:rPr>
              <w:t>Section 43H</w:t>
            </w:r>
          </w:p>
          <w:p w14:paraId="07223DBD" w14:textId="77777777" w:rsidR="00F80FAE" w:rsidRDefault="00F80FAE" w:rsidP="006C6932">
            <w:pPr>
              <w:pStyle w:val="wordsection1"/>
              <w:jc w:val="both"/>
              <w:rPr>
                <w:lang w:val="en-US"/>
              </w:rPr>
            </w:pPr>
          </w:p>
          <w:p w14:paraId="3CB3DD3E" w14:textId="6161F4A0" w:rsidR="009008B7" w:rsidRPr="000974A2" w:rsidRDefault="009008B7" w:rsidP="006C6932">
            <w:pPr>
              <w:pStyle w:val="wordsection1"/>
              <w:jc w:val="both"/>
              <w:rPr>
                <w:lang w:val="en-US"/>
              </w:rPr>
            </w:pPr>
            <w:r>
              <w:rPr>
                <w:lang w:val="en-US"/>
              </w:rPr>
              <w:t xml:space="preserve">[Clause </w:t>
            </w:r>
            <w:r w:rsidR="00D71139">
              <w:rPr>
                <w:lang w:val="en-US"/>
              </w:rPr>
              <w:t>34</w:t>
            </w:r>
            <w:r>
              <w:rPr>
                <w:lang w:val="en-US"/>
              </w:rPr>
              <w:t>]</w:t>
            </w:r>
          </w:p>
        </w:tc>
      </w:tr>
      <w:tr w:rsidR="006C6932" w:rsidRPr="000974A2" w14:paraId="49B1341A" w14:textId="77777777" w:rsidTr="3653BBEC">
        <w:trPr>
          <w:jc w:val="center"/>
        </w:trPr>
        <w:tc>
          <w:tcPr>
            <w:tcW w:w="846" w:type="dxa"/>
          </w:tcPr>
          <w:p w14:paraId="0E810142" w14:textId="77777777" w:rsidR="006C6932" w:rsidRPr="000974A2" w:rsidRDefault="006C6932">
            <w:pPr>
              <w:widowControl w:val="0"/>
              <w:numPr>
                <w:ilvl w:val="0"/>
                <w:numId w:val="2"/>
              </w:numPr>
              <w:jc w:val="both"/>
              <w:rPr>
                <w:rFonts w:eastAsia="PMingLiU"/>
                <w:b/>
              </w:rPr>
            </w:pPr>
          </w:p>
        </w:tc>
        <w:tc>
          <w:tcPr>
            <w:tcW w:w="3260" w:type="dxa"/>
          </w:tcPr>
          <w:p w14:paraId="7F47A646" w14:textId="77777777" w:rsidR="006C6932" w:rsidRDefault="006C6932" w:rsidP="00A95281">
            <w:pPr>
              <w:widowControl w:val="0"/>
              <w:jc w:val="both"/>
              <w:rPr>
                <w:lang w:val="en-GB"/>
              </w:rPr>
            </w:pPr>
            <w:r w:rsidRPr="001F65EF">
              <w:rPr>
                <w:lang w:val="en-GB"/>
              </w:rPr>
              <w:t>Extend and refine the tax incentive scheme for Approved Special Purpose Vehicle (“ASPV”) engaged in asset securitisation transactions (</w:t>
            </w:r>
            <w:r>
              <w:rPr>
                <w:lang w:val="en-GB"/>
              </w:rPr>
              <w:t>“</w:t>
            </w:r>
            <w:r w:rsidRPr="001F65EF">
              <w:rPr>
                <w:lang w:val="en-GB"/>
              </w:rPr>
              <w:t>ASPV scheme</w:t>
            </w:r>
            <w:r>
              <w:rPr>
                <w:lang w:val="en-GB"/>
              </w:rPr>
              <w:t>”</w:t>
            </w:r>
            <w:r w:rsidRPr="001F65EF">
              <w:rPr>
                <w:lang w:val="en-GB"/>
              </w:rPr>
              <w:t xml:space="preserve">) and introduce a new sub-scheme to support covered </w:t>
            </w:r>
            <w:proofErr w:type="gramStart"/>
            <w:r w:rsidRPr="001F65EF">
              <w:rPr>
                <w:lang w:val="en-GB"/>
              </w:rPr>
              <w:t>bonds</w:t>
            </w:r>
            <w:proofErr w:type="gramEnd"/>
          </w:p>
          <w:p w14:paraId="0619FCB3" w14:textId="328546A3" w:rsidR="006C6932" w:rsidRPr="000974A2" w:rsidRDefault="006C6932" w:rsidP="006C6932">
            <w:pPr>
              <w:pStyle w:val="Default"/>
              <w:jc w:val="both"/>
            </w:pPr>
          </w:p>
        </w:tc>
        <w:tc>
          <w:tcPr>
            <w:tcW w:w="6869" w:type="dxa"/>
          </w:tcPr>
          <w:p w14:paraId="7AC2C7A8" w14:textId="132A70FA" w:rsidR="006C6932" w:rsidRPr="001F65EF" w:rsidRDefault="006C6932" w:rsidP="00A95281">
            <w:pPr>
              <w:widowControl w:val="0"/>
              <w:jc w:val="both"/>
              <w:rPr>
                <w:lang w:val="en-GB"/>
              </w:rPr>
            </w:pPr>
            <w:r w:rsidRPr="560677D7">
              <w:rPr>
                <w:lang w:val="en-GB"/>
              </w:rPr>
              <w:t xml:space="preserve">The ASPV scheme grants tax exemption on income derived by an ASPV engaged in asset securitisation transactions. This supports the growth of asset securitisation activities in Singapore. The ASPV scheme is scheduled to lapse after 31 December 2023. To continue developing the structured debt market, the ASPV scheme will be extended till 31 December 2028. </w:t>
            </w:r>
          </w:p>
          <w:p w14:paraId="1D727E88" w14:textId="77777777" w:rsidR="006C6932" w:rsidRPr="001F65EF" w:rsidRDefault="006C6932" w:rsidP="006C6932">
            <w:pPr>
              <w:pStyle w:val="ContentinTable"/>
              <w:spacing w:beforeLines="40" w:before="96" w:afterLines="40" w:after="96" w:line="240" w:lineRule="auto"/>
              <w:rPr>
                <w:sz w:val="24"/>
                <w:lang w:val="en-GB"/>
              </w:rPr>
            </w:pPr>
          </w:p>
          <w:p w14:paraId="1210182C" w14:textId="5990AC60" w:rsidR="00F7489E" w:rsidRPr="00F7489E" w:rsidRDefault="006C6932" w:rsidP="00635E2A">
            <w:pPr>
              <w:pStyle w:val="ContentinTable"/>
              <w:spacing w:beforeLines="40" w:before="96" w:afterLines="40" w:after="96" w:line="240" w:lineRule="auto"/>
              <w:rPr>
                <w:sz w:val="24"/>
                <w:lang w:val="en-GB"/>
              </w:rPr>
            </w:pPr>
            <w:r w:rsidRPr="560677D7">
              <w:rPr>
                <w:sz w:val="24"/>
                <w:lang w:val="en-GB"/>
              </w:rPr>
              <w:t xml:space="preserve">Further, to support the issuance of covered bonds in Singapore, a new sub-scheme named ASPV (Covered Bonds) will be introduced. The </w:t>
            </w:r>
            <w:r w:rsidR="259E59EF" w:rsidRPr="560677D7">
              <w:rPr>
                <w:sz w:val="24"/>
                <w:lang w:val="en-GB"/>
              </w:rPr>
              <w:t xml:space="preserve">proposed </w:t>
            </w:r>
            <w:r w:rsidRPr="560677D7">
              <w:rPr>
                <w:sz w:val="24"/>
                <w:lang w:val="en-GB"/>
              </w:rPr>
              <w:t>ASPV (Covered Bonds) scheme will be effective from 15 February 2023 to 31 December 2028.</w:t>
            </w:r>
          </w:p>
        </w:tc>
        <w:tc>
          <w:tcPr>
            <w:tcW w:w="2082" w:type="dxa"/>
          </w:tcPr>
          <w:p w14:paraId="6CF9854C" w14:textId="056210AC" w:rsidR="006C6932" w:rsidRDefault="6A2FBEA3" w:rsidP="006C6932">
            <w:pPr>
              <w:pStyle w:val="wordsection1"/>
              <w:jc w:val="both"/>
              <w:rPr>
                <w:lang w:val="en-US"/>
              </w:rPr>
            </w:pPr>
            <w:r w:rsidRPr="7DF0A93A">
              <w:rPr>
                <w:lang w:val="en-US"/>
              </w:rPr>
              <w:t>Sections 10K</w:t>
            </w:r>
            <w:r w:rsidR="00D71139">
              <w:rPr>
                <w:lang w:val="en-US"/>
              </w:rPr>
              <w:t xml:space="preserve"> and</w:t>
            </w:r>
            <w:r w:rsidRPr="7DF0A93A">
              <w:rPr>
                <w:lang w:val="en-US"/>
              </w:rPr>
              <w:t xml:space="preserve"> 13M </w:t>
            </w:r>
          </w:p>
          <w:p w14:paraId="542C1E58" w14:textId="77777777" w:rsidR="007065A2" w:rsidRDefault="007065A2" w:rsidP="006C6932">
            <w:pPr>
              <w:pStyle w:val="wordsection1"/>
              <w:jc w:val="both"/>
              <w:rPr>
                <w:lang w:val="en-US"/>
              </w:rPr>
            </w:pPr>
          </w:p>
          <w:p w14:paraId="0E7C17FE" w14:textId="6105F743" w:rsidR="007065A2" w:rsidRDefault="007065A2" w:rsidP="006C6932">
            <w:pPr>
              <w:pStyle w:val="wordsection1"/>
              <w:jc w:val="both"/>
              <w:rPr>
                <w:lang w:val="en-US"/>
              </w:rPr>
            </w:pPr>
            <w:r>
              <w:rPr>
                <w:lang w:val="en-US"/>
              </w:rPr>
              <w:t xml:space="preserve">[Clauses </w:t>
            </w:r>
            <w:r w:rsidR="00DF4D68">
              <w:rPr>
                <w:lang w:val="en-US"/>
              </w:rPr>
              <w:t>5</w:t>
            </w:r>
            <w:r w:rsidR="00D71139">
              <w:rPr>
                <w:lang w:val="en-US"/>
              </w:rPr>
              <w:t xml:space="preserve"> and</w:t>
            </w:r>
            <w:r w:rsidR="00DF4D68">
              <w:rPr>
                <w:lang w:val="en-US"/>
              </w:rPr>
              <w:t xml:space="preserve"> </w:t>
            </w:r>
            <w:r>
              <w:rPr>
                <w:lang w:val="en-US"/>
              </w:rPr>
              <w:t>8</w:t>
            </w:r>
            <w:r w:rsidR="00DF4D68">
              <w:rPr>
                <w:lang w:val="en-US"/>
              </w:rPr>
              <w:t>]</w:t>
            </w:r>
          </w:p>
        </w:tc>
      </w:tr>
      <w:tr w:rsidR="006C6932" w:rsidRPr="000974A2" w14:paraId="2ED759A2" w14:textId="77777777" w:rsidTr="3653BBEC">
        <w:trPr>
          <w:jc w:val="center"/>
        </w:trPr>
        <w:tc>
          <w:tcPr>
            <w:tcW w:w="846" w:type="dxa"/>
          </w:tcPr>
          <w:p w14:paraId="2A353ED3" w14:textId="77777777" w:rsidR="006C6932" w:rsidRPr="000974A2" w:rsidRDefault="006C6932">
            <w:pPr>
              <w:widowControl w:val="0"/>
              <w:numPr>
                <w:ilvl w:val="0"/>
                <w:numId w:val="2"/>
              </w:numPr>
              <w:jc w:val="both"/>
              <w:rPr>
                <w:rFonts w:eastAsia="PMingLiU"/>
                <w:b/>
              </w:rPr>
            </w:pPr>
          </w:p>
        </w:tc>
        <w:tc>
          <w:tcPr>
            <w:tcW w:w="3260" w:type="dxa"/>
          </w:tcPr>
          <w:p w14:paraId="0012D5FD" w14:textId="77777777" w:rsidR="006C6932" w:rsidRPr="001F65EF" w:rsidRDefault="006C6932" w:rsidP="00635E2A">
            <w:pPr>
              <w:pStyle w:val="Default"/>
              <w:jc w:val="both"/>
            </w:pPr>
            <w:r w:rsidRPr="001F65EF">
              <w:t>Extend the Insurance Business Development – Insurance Broking Business (“IBD-IBB”) Scheme</w:t>
            </w:r>
          </w:p>
          <w:p w14:paraId="57B7FE7E" w14:textId="19233275" w:rsidR="006C6932" w:rsidRPr="000974A2" w:rsidRDefault="006C6932" w:rsidP="00766DE5">
            <w:pPr>
              <w:pStyle w:val="Default"/>
              <w:jc w:val="both"/>
            </w:pPr>
          </w:p>
        </w:tc>
        <w:tc>
          <w:tcPr>
            <w:tcW w:w="6869" w:type="dxa"/>
          </w:tcPr>
          <w:p w14:paraId="6DA80C2C" w14:textId="77777777" w:rsidR="006C6932" w:rsidRPr="001F65EF" w:rsidRDefault="006C6932" w:rsidP="007074B5">
            <w:pPr>
              <w:widowControl w:val="0"/>
              <w:jc w:val="both"/>
              <w:rPr>
                <w:lang w:val="en-GB"/>
              </w:rPr>
            </w:pPr>
            <w:r w:rsidRPr="001F65EF">
              <w:rPr>
                <w:lang w:val="en-GB"/>
              </w:rPr>
              <w:t>The IBD-IBB scheme grants approved insurance and reinsurance brokers a concessionary tax rate of 10% on commission and fee income derived from insurance broking and advisory services. The IBD-IBB scheme is scheduled to lapse after 31 December 2023.</w:t>
            </w:r>
          </w:p>
          <w:p w14:paraId="62E7D5D7" w14:textId="77777777" w:rsidR="006C6932" w:rsidRPr="001F65EF" w:rsidRDefault="006C6932" w:rsidP="006C6932">
            <w:pPr>
              <w:pStyle w:val="ContentinTable"/>
              <w:spacing w:beforeLines="40" w:before="96" w:afterLines="40" w:after="96" w:line="240" w:lineRule="auto"/>
              <w:rPr>
                <w:sz w:val="24"/>
                <w:lang w:val="en-GB"/>
              </w:rPr>
            </w:pPr>
          </w:p>
          <w:p w14:paraId="73038945" w14:textId="006C12F1"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 xml:space="preserve">To further strengthen Singapore’s position as a leading insurance and reinsurance centre, the IBD-IBB scheme will be extended till 31 December 2028. </w:t>
            </w:r>
          </w:p>
          <w:p w14:paraId="293B17BB" w14:textId="4844F977" w:rsidR="006C6932" w:rsidRPr="000974A2" w:rsidRDefault="006C6932" w:rsidP="006C6932">
            <w:pPr>
              <w:pStyle w:val="wordsection1"/>
              <w:jc w:val="both"/>
              <w:rPr>
                <w:lang w:val="en-US"/>
              </w:rPr>
            </w:pPr>
          </w:p>
        </w:tc>
        <w:tc>
          <w:tcPr>
            <w:tcW w:w="2082" w:type="dxa"/>
          </w:tcPr>
          <w:p w14:paraId="00B67865" w14:textId="77777777" w:rsidR="006C6932" w:rsidRDefault="48C27322" w:rsidP="006C6932">
            <w:pPr>
              <w:pStyle w:val="wordsection1"/>
              <w:jc w:val="both"/>
              <w:rPr>
                <w:lang w:val="en-US"/>
              </w:rPr>
            </w:pPr>
            <w:r w:rsidRPr="3D972487">
              <w:rPr>
                <w:lang w:val="en-US"/>
              </w:rPr>
              <w:t>Section 43R</w:t>
            </w:r>
          </w:p>
          <w:p w14:paraId="6896CE60" w14:textId="77777777" w:rsidR="00B72414" w:rsidRDefault="00B72414" w:rsidP="006C6932">
            <w:pPr>
              <w:pStyle w:val="wordsection1"/>
              <w:jc w:val="both"/>
              <w:rPr>
                <w:lang w:val="en-US"/>
              </w:rPr>
            </w:pPr>
          </w:p>
          <w:p w14:paraId="5B0A226B" w14:textId="3CEBACBE" w:rsidR="00C555C5" w:rsidRDefault="00C555C5" w:rsidP="006C6932">
            <w:pPr>
              <w:pStyle w:val="wordsection1"/>
              <w:jc w:val="both"/>
              <w:rPr>
                <w:lang w:val="en-US"/>
              </w:rPr>
            </w:pPr>
            <w:r>
              <w:rPr>
                <w:lang w:val="en-US"/>
              </w:rPr>
              <w:t xml:space="preserve">[Clause </w:t>
            </w:r>
            <w:r w:rsidR="00BF1F02">
              <w:rPr>
                <w:lang w:val="en-US"/>
              </w:rPr>
              <w:t>36</w:t>
            </w:r>
            <w:r>
              <w:rPr>
                <w:lang w:val="en-US"/>
              </w:rPr>
              <w:t>]</w:t>
            </w:r>
          </w:p>
        </w:tc>
      </w:tr>
      <w:tr w:rsidR="006C6932" w:rsidRPr="000974A2" w14:paraId="0D32EA84" w14:textId="77777777" w:rsidTr="3653BBEC">
        <w:trPr>
          <w:jc w:val="center"/>
        </w:trPr>
        <w:tc>
          <w:tcPr>
            <w:tcW w:w="846" w:type="dxa"/>
          </w:tcPr>
          <w:p w14:paraId="169671DF" w14:textId="77777777" w:rsidR="006C6932" w:rsidRPr="000974A2" w:rsidRDefault="006C6932">
            <w:pPr>
              <w:widowControl w:val="0"/>
              <w:numPr>
                <w:ilvl w:val="0"/>
                <w:numId w:val="2"/>
              </w:numPr>
              <w:jc w:val="both"/>
              <w:rPr>
                <w:rFonts w:eastAsia="PMingLiU"/>
                <w:b/>
              </w:rPr>
            </w:pPr>
          </w:p>
        </w:tc>
        <w:tc>
          <w:tcPr>
            <w:tcW w:w="3260" w:type="dxa"/>
          </w:tcPr>
          <w:p w14:paraId="249B3F92" w14:textId="69B6190B" w:rsidR="006C6932" w:rsidRPr="000974A2" w:rsidRDefault="006C6932" w:rsidP="006C6932">
            <w:pPr>
              <w:pStyle w:val="Default"/>
              <w:jc w:val="both"/>
            </w:pPr>
            <w:r w:rsidRPr="001F65EF">
              <w:t>Extend the tax concession for deduction of general provisions for doubtful debts and regulatory loss allowances made in respect of non-credit-impaired financial instruments for banks (including merchant banks) and qualifying finance companies</w:t>
            </w:r>
          </w:p>
        </w:tc>
        <w:tc>
          <w:tcPr>
            <w:tcW w:w="6869" w:type="dxa"/>
          </w:tcPr>
          <w:p w14:paraId="09EBBA4E" w14:textId="77777777" w:rsidR="006C6932" w:rsidRPr="001F65EF" w:rsidRDefault="006C6932" w:rsidP="007074B5">
            <w:pPr>
              <w:widowControl w:val="0"/>
              <w:jc w:val="both"/>
              <w:rPr>
                <w:lang w:val="en-GB"/>
              </w:rPr>
            </w:pPr>
            <w:r w:rsidRPr="001F65EF">
              <w:rPr>
                <w:lang w:val="en-GB"/>
              </w:rPr>
              <w:t>Under section 14G of the ITA, banks, merchant banks and qualifying finance companies can claim a tax deduction for general provisions on non-credit-impaired loans and debt securities made under the Financial Reporting Standard 109 or Singapore Financial Reporting Standard (International) 9, and any additional loss allowances as required under prevailing MAS Notices, subject to a cap.</w:t>
            </w:r>
          </w:p>
          <w:p w14:paraId="3356E6C1" w14:textId="77777777" w:rsidR="006C6932" w:rsidRPr="00F232B6" w:rsidRDefault="006C6932" w:rsidP="006C6932">
            <w:pPr>
              <w:pStyle w:val="ContentinTable"/>
              <w:spacing w:beforeLines="40" w:before="96" w:afterLines="40" w:after="96" w:line="240" w:lineRule="auto"/>
              <w:rPr>
                <w:sz w:val="24"/>
                <w:lang w:val="en-GB"/>
              </w:rPr>
            </w:pPr>
          </w:p>
          <w:p w14:paraId="27DF383B"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The tax deduction under section 14G is scheduled to lapse after YA 2024 (for banks, merchant banks and qualifying finance companies with a 31-December financial year end (“FYE”)) or YA 2025 (for banks, merchant banks and qualifying finance companies with a non-31-December FYE).</w:t>
            </w:r>
          </w:p>
          <w:p w14:paraId="397CF92A" w14:textId="77777777" w:rsidR="006C6932" w:rsidRPr="001F65EF" w:rsidRDefault="006C6932" w:rsidP="006C6932">
            <w:pPr>
              <w:pStyle w:val="ContentinTable"/>
              <w:spacing w:beforeLines="40" w:before="96" w:afterLines="40" w:after="96" w:line="240" w:lineRule="auto"/>
              <w:rPr>
                <w:sz w:val="24"/>
                <w:lang w:val="en-GB"/>
              </w:rPr>
            </w:pPr>
          </w:p>
          <w:p w14:paraId="0A6F8FE9" w14:textId="180AF70B" w:rsidR="006C6932" w:rsidRDefault="006C6932" w:rsidP="006C6932">
            <w:pPr>
              <w:pStyle w:val="ContentinTable"/>
              <w:spacing w:beforeLines="40" w:before="96" w:afterLines="40" w:after="96" w:line="240" w:lineRule="auto"/>
              <w:rPr>
                <w:sz w:val="24"/>
                <w:lang w:val="en-GB"/>
              </w:rPr>
            </w:pPr>
            <w:r w:rsidRPr="001F65EF">
              <w:rPr>
                <w:sz w:val="24"/>
                <w:lang w:val="en-GB"/>
              </w:rPr>
              <w:lastRenderedPageBreak/>
              <w:t>To continue to promote the overall robustness and stability of the Singapore financial system, the tax deduction under section 14G of the ITA will be extended till YA 2029 (for banks, merchant banks, and qualifying finance companies with a 31-December FYE) or YA 2030 (for banks, merchant banks, and qualifying finance companies with a non-31-December FYE).</w:t>
            </w:r>
          </w:p>
          <w:p w14:paraId="3A40587E" w14:textId="76537F61" w:rsidR="006C6932" w:rsidRPr="000974A2" w:rsidRDefault="006C6932" w:rsidP="006C6932">
            <w:pPr>
              <w:pStyle w:val="wordsection1"/>
              <w:jc w:val="both"/>
              <w:rPr>
                <w:lang w:val="en-US"/>
              </w:rPr>
            </w:pPr>
          </w:p>
        </w:tc>
        <w:tc>
          <w:tcPr>
            <w:tcW w:w="2082" w:type="dxa"/>
          </w:tcPr>
          <w:p w14:paraId="6242942D" w14:textId="77777777" w:rsidR="006C6932" w:rsidRDefault="03399FB2" w:rsidP="006C6932">
            <w:pPr>
              <w:pStyle w:val="wordsection1"/>
              <w:jc w:val="both"/>
              <w:rPr>
                <w:lang w:val="en-US"/>
              </w:rPr>
            </w:pPr>
            <w:r w:rsidRPr="3D972487">
              <w:rPr>
                <w:lang w:val="en-US"/>
              </w:rPr>
              <w:lastRenderedPageBreak/>
              <w:t>Section 14G</w:t>
            </w:r>
          </w:p>
          <w:p w14:paraId="4CE173C5" w14:textId="77777777" w:rsidR="00B72414" w:rsidRDefault="00B72414" w:rsidP="006C6932">
            <w:pPr>
              <w:pStyle w:val="wordsection1"/>
              <w:jc w:val="both"/>
              <w:rPr>
                <w:lang w:val="en-US"/>
              </w:rPr>
            </w:pPr>
          </w:p>
          <w:p w14:paraId="518F9ACF" w14:textId="384EC1FA" w:rsidR="004D2870" w:rsidRDefault="004D2870" w:rsidP="006C6932">
            <w:pPr>
              <w:pStyle w:val="wordsection1"/>
              <w:jc w:val="both"/>
              <w:rPr>
                <w:lang w:val="en-US"/>
              </w:rPr>
            </w:pPr>
            <w:r>
              <w:rPr>
                <w:lang w:val="en-US"/>
              </w:rPr>
              <w:t xml:space="preserve">[Clause </w:t>
            </w:r>
            <w:r w:rsidR="00BF1F02">
              <w:rPr>
                <w:lang w:val="en-US"/>
              </w:rPr>
              <w:t>16</w:t>
            </w:r>
            <w:r>
              <w:rPr>
                <w:lang w:val="en-US"/>
              </w:rPr>
              <w:t>]</w:t>
            </w:r>
          </w:p>
        </w:tc>
      </w:tr>
      <w:tr w:rsidR="006C6932" w:rsidRPr="000974A2" w14:paraId="740FEA73" w14:textId="77777777" w:rsidTr="3653BBEC">
        <w:trPr>
          <w:jc w:val="center"/>
        </w:trPr>
        <w:tc>
          <w:tcPr>
            <w:tcW w:w="846" w:type="dxa"/>
          </w:tcPr>
          <w:p w14:paraId="755B9255" w14:textId="77777777" w:rsidR="006C6932" w:rsidRPr="000974A2" w:rsidRDefault="006C6932">
            <w:pPr>
              <w:widowControl w:val="0"/>
              <w:numPr>
                <w:ilvl w:val="0"/>
                <w:numId w:val="2"/>
              </w:numPr>
              <w:jc w:val="both"/>
              <w:rPr>
                <w:rFonts w:eastAsia="PMingLiU"/>
                <w:b/>
              </w:rPr>
            </w:pPr>
          </w:p>
        </w:tc>
        <w:tc>
          <w:tcPr>
            <w:tcW w:w="3260" w:type="dxa"/>
          </w:tcPr>
          <w:p w14:paraId="648D6DDD" w14:textId="77777777" w:rsidR="00561342" w:rsidRPr="00635E2A" w:rsidRDefault="00561342" w:rsidP="00635E2A">
            <w:pPr>
              <w:pStyle w:val="Default"/>
              <w:jc w:val="both"/>
            </w:pPr>
            <w:r w:rsidRPr="001F65EF">
              <w:t xml:space="preserve">Extend </w:t>
            </w:r>
            <w:r>
              <w:t xml:space="preserve">Writing Down </w:t>
            </w:r>
            <w:r w:rsidRPr="006C486F">
              <w:t>Allowance (</w:t>
            </w:r>
            <w:r w:rsidRPr="00426C3A">
              <w:t>“</w:t>
            </w:r>
            <w:r w:rsidRPr="006C486F">
              <w:t>WDA</w:t>
            </w:r>
            <w:r w:rsidRPr="00426C3A">
              <w:t>”</w:t>
            </w:r>
            <w:r w:rsidRPr="006C486F">
              <w:t xml:space="preserve">) for the acquisition of an indefeasible right to use </w:t>
            </w:r>
            <w:r w:rsidRPr="00426C3A">
              <w:t>international telecommunications</w:t>
            </w:r>
            <w:r w:rsidRPr="006C486F">
              <w:t xml:space="preserve"> submarine cable system </w:t>
            </w:r>
            <w:r w:rsidRPr="00426C3A">
              <w:t>(“IRU”)</w:t>
            </w:r>
          </w:p>
          <w:p w14:paraId="5509B28D" w14:textId="7D6C662F" w:rsidR="006C6932" w:rsidRPr="000974A2" w:rsidRDefault="006C6932" w:rsidP="00E76E1A">
            <w:pPr>
              <w:pStyle w:val="Default"/>
              <w:jc w:val="both"/>
            </w:pPr>
          </w:p>
        </w:tc>
        <w:tc>
          <w:tcPr>
            <w:tcW w:w="6869" w:type="dxa"/>
          </w:tcPr>
          <w:p w14:paraId="4C77BE5F" w14:textId="0D92223F" w:rsidR="006C6932" w:rsidRPr="001F65EF" w:rsidRDefault="006C6932" w:rsidP="007074B5">
            <w:pPr>
              <w:widowControl w:val="0"/>
              <w:jc w:val="both"/>
              <w:rPr>
                <w:lang w:val="en-GB"/>
              </w:rPr>
            </w:pPr>
            <w:r w:rsidRPr="001F65EF">
              <w:rPr>
                <w:lang w:val="en-GB"/>
              </w:rPr>
              <w:t>To maintain and enhance Singapore’s international connectivity,</w:t>
            </w:r>
            <w:r w:rsidR="0035412D">
              <w:rPr>
                <w:lang w:val="en-GB"/>
              </w:rPr>
              <w:t xml:space="preserve"> </w:t>
            </w:r>
            <w:r>
              <w:rPr>
                <w:lang w:val="en-GB"/>
              </w:rPr>
              <w:t xml:space="preserve">WDA for the acquisition of an IRU over its useful life </w:t>
            </w:r>
            <w:r w:rsidRPr="001F65EF">
              <w:rPr>
                <w:lang w:val="en-GB"/>
              </w:rPr>
              <w:t>will be extended to 31 December 2028</w:t>
            </w:r>
            <w:r>
              <w:rPr>
                <w:lang w:val="en-GB"/>
              </w:rPr>
              <w:t>.</w:t>
            </w:r>
          </w:p>
          <w:p w14:paraId="1BCE1958" w14:textId="541D26F5" w:rsidR="006C6932" w:rsidRPr="000974A2" w:rsidRDefault="006C6932" w:rsidP="007074B5">
            <w:pPr>
              <w:widowControl w:val="0"/>
              <w:jc w:val="both"/>
            </w:pPr>
          </w:p>
        </w:tc>
        <w:tc>
          <w:tcPr>
            <w:tcW w:w="2082" w:type="dxa"/>
          </w:tcPr>
          <w:p w14:paraId="45113BAE" w14:textId="23B26C84" w:rsidR="31FDD62C" w:rsidRDefault="31FDD62C" w:rsidP="560677D7">
            <w:pPr>
              <w:pStyle w:val="wordsection1"/>
              <w:jc w:val="both"/>
              <w:rPr>
                <w:lang w:val="en-US"/>
              </w:rPr>
            </w:pPr>
            <w:r w:rsidRPr="560677D7">
              <w:rPr>
                <w:lang w:val="en-US"/>
              </w:rPr>
              <w:t>Section 19D</w:t>
            </w:r>
          </w:p>
          <w:p w14:paraId="1B39DEBA" w14:textId="77777777" w:rsidR="006C6932" w:rsidRDefault="006C6932" w:rsidP="006C6932">
            <w:pPr>
              <w:pStyle w:val="wordsection1"/>
              <w:jc w:val="both"/>
              <w:rPr>
                <w:lang w:val="en-US"/>
              </w:rPr>
            </w:pPr>
          </w:p>
          <w:p w14:paraId="4CAF16F1" w14:textId="40745C34" w:rsidR="0011256A" w:rsidRDefault="0011256A" w:rsidP="006C6932">
            <w:pPr>
              <w:pStyle w:val="wordsection1"/>
              <w:jc w:val="both"/>
              <w:rPr>
                <w:lang w:val="en-US"/>
              </w:rPr>
            </w:pPr>
            <w:r>
              <w:rPr>
                <w:lang w:val="en-US"/>
              </w:rPr>
              <w:t xml:space="preserve">[Clause </w:t>
            </w:r>
            <w:r w:rsidR="0036132D">
              <w:rPr>
                <w:lang w:val="en-US"/>
              </w:rPr>
              <w:t>26</w:t>
            </w:r>
            <w:r>
              <w:rPr>
                <w:lang w:val="en-US"/>
              </w:rPr>
              <w:t>]</w:t>
            </w:r>
          </w:p>
        </w:tc>
      </w:tr>
      <w:tr w:rsidR="006C6932" w:rsidRPr="000974A2" w14:paraId="7DA8E61D" w14:textId="77777777" w:rsidTr="3653BBEC">
        <w:trPr>
          <w:jc w:val="center"/>
        </w:trPr>
        <w:tc>
          <w:tcPr>
            <w:tcW w:w="846" w:type="dxa"/>
          </w:tcPr>
          <w:p w14:paraId="4F6D35CF" w14:textId="77777777" w:rsidR="006C6932" w:rsidRPr="000974A2" w:rsidRDefault="006C6932">
            <w:pPr>
              <w:widowControl w:val="0"/>
              <w:numPr>
                <w:ilvl w:val="0"/>
                <w:numId w:val="2"/>
              </w:numPr>
              <w:jc w:val="both"/>
              <w:rPr>
                <w:rFonts w:eastAsia="PMingLiU"/>
                <w:b/>
              </w:rPr>
            </w:pPr>
          </w:p>
        </w:tc>
        <w:tc>
          <w:tcPr>
            <w:tcW w:w="3260" w:type="dxa"/>
          </w:tcPr>
          <w:p w14:paraId="2BB61DF1" w14:textId="28CF2A97" w:rsidR="006C6932" w:rsidRPr="000974A2" w:rsidRDefault="006C6932" w:rsidP="006C6932">
            <w:pPr>
              <w:pStyle w:val="Default"/>
              <w:jc w:val="both"/>
            </w:pPr>
            <w:r w:rsidRPr="001F65EF">
              <w:t>Withdraw the tax deduction for expenditure incurred on building modifications for benefit of disabled employees</w:t>
            </w:r>
          </w:p>
        </w:tc>
        <w:tc>
          <w:tcPr>
            <w:tcW w:w="6869" w:type="dxa"/>
          </w:tcPr>
          <w:p w14:paraId="1A4BCF94" w14:textId="62C292C1" w:rsidR="00202612" w:rsidRDefault="006C6932" w:rsidP="007074B5">
            <w:pPr>
              <w:widowControl w:val="0"/>
              <w:jc w:val="both"/>
            </w:pPr>
            <w:r>
              <w:t>Currently</w:t>
            </w:r>
            <w:r w:rsidRPr="009960E5">
              <w:t xml:space="preserve">, employers can claim tax deductions </w:t>
            </w:r>
            <w:r>
              <w:t xml:space="preserve">under section 14F of the ITA </w:t>
            </w:r>
            <w:r w:rsidRPr="009960E5">
              <w:t xml:space="preserve">for approved </w:t>
            </w:r>
            <w:r w:rsidRPr="007074B5">
              <w:rPr>
                <w:lang w:val="en-GB"/>
              </w:rPr>
              <w:t>expenditure</w:t>
            </w:r>
            <w:r w:rsidRPr="009960E5">
              <w:t xml:space="preserve"> incurred on any addition or alteration to business premises for the purpose of facilitating the mobility or work of any disabled employee, subject to a one-off cap of $100,000.</w:t>
            </w:r>
          </w:p>
          <w:p w14:paraId="5904C2C8" w14:textId="77777777" w:rsidR="00202612" w:rsidRDefault="00202612" w:rsidP="006C6932">
            <w:pPr>
              <w:pStyle w:val="ContentinTable"/>
              <w:spacing w:beforeLines="40" w:before="96" w:afterLines="40" w:after="96" w:line="240" w:lineRule="auto"/>
              <w:rPr>
                <w:sz w:val="24"/>
              </w:rPr>
            </w:pPr>
          </w:p>
          <w:p w14:paraId="25FC6205" w14:textId="397EDC49" w:rsidR="006C6932" w:rsidRDefault="00BE7E74" w:rsidP="006C6932">
            <w:pPr>
              <w:pStyle w:val="ContentinTable"/>
              <w:spacing w:beforeLines="40" w:before="96" w:afterLines="40" w:after="96" w:line="240" w:lineRule="auto"/>
              <w:rPr>
                <w:sz w:val="24"/>
              </w:rPr>
            </w:pPr>
            <w:r>
              <w:rPr>
                <w:sz w:val="24"/>
              </w:rPr>
              <w:t>T</w:t>
            </w:r>
            <w:r w:rsidR="006C6932" w:rsidRPr="009960E5">
              <w:rPr>
                <w:sz w:val="24"/>
              </w:rPr>
              <w:t>he scheme will be withdrawn from 15 February 2023. Introduced in Budget 1989, the scheme has become less relevant over the years. Since then, other support schemes (</w:t>
            </w:r>
            <w:proofErr w:type="gramStart"/>
            <w:r w:rsidR="006C6932" w:rsidRPr="009960E5">
              <w:rPr>
                <w:sz w:val="24"/>
              </w:rPr>
              <w:t>e.g.</w:t>
            </w:r>
            <w:proofErr w:type="gramEnd"/>
            <w:r w:rsidR="006C6932" w:rsidRPr="009960E5">
              <w:rPr>
                <w:sz w:val="24"/>
              </w:rPr>
              <w:t xml:space="preserve"> the Open Door Programme Job Redesign Grant) have been introduced to help employers recruit </w:t>
            </w:r>
            <w:r w:rsidR="006C6932" w:rsidRPr="009960E5">
              <w:rPr>
                <w:sz w:val="24"/>
              </w:rPr>
              <w:lastRenderedPageBreak/>
              <w:t xml:space="preserve">and retain disabled employees, or to support employers for accommodations beyond (and including) physical modifications of the workplace. </w:t>
            </w:r>
            <w:r w:rsidR="006C6932">
              <w:rPr>
                <w:sz w:val="24"/>
              </w:rPr>
              <w:t>T</w:t>
            </w:r>
            <w:r w:rsidR="006C6932" w:rsidRPr="009960E5">
              <w:rPr>
                <w:sz w:val="24"/>
              </w:rPr>
              <w:t>ax deductions for R</w:t>
            </w:r>
            <w:r w:rsidR="006C6932">
              <w:rPr>
                <w:sz w:val="24"/>
              </w:rPr>
              <w:t xml:space="preserve">&amp;R </w:t>
            </w:r>
            <w:r w:rsidR="00D30ABF">
              <w:rPr>
                <w:sz w:val="24"/>
              </w:rPr>
              <w:t xml:space="preserve">expenditure </w:t>
            </w:r>
            <w:r w:rsidR="006C6932">
              <w:rPr>
                <w:sz w:val="24"/>
              </w:rPr>
              <w:t>under section 14N of the ITA</w:t>
            </w:r>
            <w:r w:rsidR="006C6932" w:rsidRPr="009960E5">
              <w:rPr>
                <w:sz w:val="24"/>
              </w:rPr>
              <w:t>, introduced in Budget 2008, can also be tapped upon for workplace modifications without the need for prior approval from government agencies.</w:t>
            </w:r>
          </w:p>
          <w:p w14:paraId="04A774EE" w14:textId="51D2FB38" w:rsidR="003F4121" w:rsidRPr="006C6932" w:rsidRDefault="003F4121" w:rsidP="00426C3A">
            <w:pPr>
              <w:pStyle w:val="ContentinTable"/>
              <w:spacing w:beforeLines="40" w:before="96" w:afterLines="40" w:after="96" w:line="240" w:lineRule="auto"/>
              <w:rPr>
                <w:sz w:val="24"/>
              </w:rPr>
            </w:pPr>
          </w:p>
        </w:tc>
        <w:tc>
          <w:tcPr>
            <w:tcW w:w="2082" w:type="dxa"/>
          </w:tcPr>
          <w:p w14:paraId="1F46440F" w14:textId="77777777" w:rsidR="006C6932" w:rsidRDefault="5DF32A53" w:rsidP="006C6932">
            <w:pPr>
              <w:pStyle w:val="wordsection1"/>
              <w:jc w:val="both"/>
              <w:rPr>
                <w:lang w:val="en-US"/>
              </w:rPr>
            </w:pPr>
            <w:r w:rsidRPr="560677D7">
              <w:rPr>
                <w:lang w:val="en-US"/>
              </w:rPr>
              <w:lastRenderedPageBreak/>
              <w:t>Section 14F</w:t>
            </w:r>
          </w:p>
          <w:p w14:paraId="273D81CA" w14:textId="4B01FC33" w:rsidR="0011256A" w:rsidRDefault="0011256A" w:rsidP="006C6932">
            <w:pPr>
              <w:pStyle w:val="wordsection1"/>
              <w:jc w:val="both"/>
              <w:rPr>
                <w:lang w:val="en-US"/>
              </w:rPr>
            </w:pPr>
            <w:r>
              <w:rPr>
                <w:lang w:val="en-US"/>
              </w:rPr>
              <w:br/>
              <w:t xml:space="preserve">[Clause </w:t>
            </w:r>
            <w:r w:rsidR="0036132D">
              <w:rPr>
                <w:lang w:val="en-US"/>
              </w:rPr>
              <w:t>15</w:t>
            </w:r>
            <w:r>
              <w:rPr>
                <w:lang w:val="en-US"/>
              </w:rPr>
              <w:t>]</w:t>
            </w:r>
          </w:p>
        </w:tc>
      </w:tr>
      <w:tr w:rsidR="006C6932" w:rsidRPr="000974A2" w14:paraId="49404851" w14:textId="77777777" w:rsidTr="3653BBEC">
        <w:trPr>
          <w:jc w:val="center"/>
        </w:trPr>
        <w:tc>
          <w:tcPr>
            <w:tcW w:w="846" w:type="dxa"/>
          </w:tcPr>
          <w:p w14:paraId="5390EE87" w14:textId="77777777" w:rsidR="006C6932" w:rsidRPr="000974A2" w:rsidRDefault="006C6932">
            <w:pPr>
              <w:widowControl w:val="0"/>
              <w:numPr>
                <w:ilvl w:val="0"/>
                <w:numId w:val="2"/>
              </w:numPr>
              <w:jc w:val="both"/>
              <w:rPr>
                <w:rFonts w:eastAsia="PMingLiU"/>
                <w:b/>
              </w:rPr>
            </w:pPr>
          </w:p>
        </w:tc>
        <w:tc>
          <w:tcPr>
            <w:tcW w:w="3260" w:type="dxa"/>
          </w:tcPr>
          <w:p w14:paraId="7A1BA4F4" w14:textId="6FFD4A9E" w:rsidR="006C6932" w:rsidRPr="000974A2" w:rsidRDefault="00F1420C" w:rsidP="006C6932">
            <w:pPr>
              <w:pStyle w:val="Default"/>
              <w:jc w:val="both"/>
            </w:pPr>
            <w:r w:rsidRPr="00271A3F">
              <w:t xml:space="preserve">Change </w:t>
            </w:r>
            <w:r w:rsidRPr="00426C3A">
              <w:t>Working Mother’s Child Relief (“</w:t>
            </w:r>
            <w:r w:rsidRPr="00271A3F">
              <w:t>WMCR</w:t>
            </w:r>
            <w:r w:rsidRPr="00426C3A">
              <w:t>”)</w:t>
            </w:r>
            <w:r w:rsidR="006C6932" w:rsidRPr="00271A3F">
              <w:t xml:space="preserve"> from a percentage of earned income</w:t>
            </w:r>
            <w:r w:rsidR="006C6932" w:rsidRPr="001F65EF">
              <w:t xml:space="preserve"> to a fixed dollar tax relief for those with qualifying children born or adopted</w:t>
            </w:r>
            <w:r w:rsidR="006C6932">
              <w:t xml:space="preserve"> on or after</w:t>
            </w:r>
            <w:r w:rsidR="006C6932" w:rsidRPr="001F65EF">
              <w:t xml:space="preserve"> 1 January 2024</w:t>
            </w:r>
          </w:p>
        </w:tc>
        <w:tc>
          <w:tcPr>
            <w:tcW w:w="6869" w:type="dxa"/>
          </w:tcPr>
          <w:p w14:paraId="18FCF4A0" w14:textId="77777777" w:rsidR="006C6932" w:rsidRPr="001F65EF" w:rsidRDefault="006C6932" w:rsidP="00A934F7">
            <w:pPr>
              <w:pStyle w:val="Default"/>
              <w:jc w:val="both"/>
            </w:pPr>
            <w:r>
              <w:t xml:space="preserve">Currently, </w:t>
            </w:r>
            <w:r w:rsidRPr="00F232B6">
              <w:t>the</w:t>
            </w:r>
            <w:r w:rsidRPr="001F65EF">
              <w:t xml:space="preserve"> WMCR amount for eligible working mothers with a qualifying child who is a Singapore citizen is as follows, subject to a total cap of $50,000 per child (</w:t>
            </w:r>
            <w:proofErr w:type="gramStart"/>
            <w:r w:rsidRPr="001F65EF">
              <w:t>i.e.</w:t>
            </w:r>
            <w:proofErr w:type="gramEnd"/>
            <w:r w:rsidRPr="001F65EF">
              <w:t xml:space="preserve"> WMCR plus Qualifying Child Relief/ Handicapped Child Relief):</w:t>
            </w:r>
          </w:p>
          <w:p w14:paraId="3B416A41" w14:textId="77777777" w:rsidR="006C6932" w:rsidRPr="001F65EF" w:rsidRDefault="006C6932" w:rsidP="006C6932">
            <w:pPr>
              <w:pStyle w:val="ContentinTable"/>
              <w:spacing w:beforeLines="40" w:before="96" w:afterLines="40" w:after="96" w:line="240" w:lineRule="auto"/>
              <w:rPr>
                <w:sz w:val="24"/>
                <w:lang w:val="en-GB"/>
              </w:rPr>
            </w:pPr>
          </w:p>
          <w:tbl>
            <w:tblPr>
              <w:tblStyle w:val="TableGrid"/>
              <w:tblW w:w="5318" w:type="dxa"/>
              <w:tblLayout w:type="fixed"/>
              <w:tblLook w:val="04A0" w:firstRow="1" w:lastRow="0" w:firstColumn="1" w:lastColumn="0" w:noHBand="0" w:noVBand="1"/>
            </w:tblPr>
            <w:tblGrid>
              <w:gridCol w:w="1886"/>
              <w:gridCol w:w="3432"/>
            </w:tblGrid>
            <w:tr w:rsidR="006C6932" w:rsidRPr="001F65EF" w14:paraId="4CD994CB" w14:textId="77777777" w:rsidTr="003F5FB6">
              <w:trPr>
                <w:tblHeader/>
              </w:trPr>
              <w:tc>
                <w:tcPr>
                  <w:tcW w:w="1886" w:type="dxa"/>
                  <w:shd w:val="clear" w:color="auto" w:fill="EEECE1" w:themeFill="background2"/>
                  <w:vAlign w:val="center"/>
                </w:tcPr>
                <w:p w14:paraId="57960811" w14:textId="77777777" w:rsidR="006C6932" w:rsidRPr="001F65EF" w:rsidRDefault="006C6932" w:rsidP="006C6932">
                  <w:pPr>
                    <w:pStyle w:val="ContentinTable"/>
                    <w:spacing w:before="40" w:after="40" w:line="240" w:lineRule="auto"/>
                    <w:jc w:val="center"/>
                    <w:rPr>
                      <w:sz w:val="24"/>
                      <w:lang w:val="en-GB"/>
                    </w:rPr>
                  </w:pPr>
                  <w:r w:rsidRPr="001F65EF">
                    <w:rPr>
                      <w:b/>
                      <w:bCs/>
                      <w:sz w:val="24"/>
                      <w:lang w:val="en-GB"/>
                    </w:rPr>
                    <w:t>Child Order</w:t>
                  </w:r>
                </w:p>
              </w:tc>
              <w:tc>
                <w:tcPr>
                  <w:tcW w:w="3432" w:type="dxa"/>
                  <w:shd w:val="clear" w:color="auto" w:fill="EEECE1" w:themeFill="background2"/>
                  <w:vAlign w:val="center"/>
                </w:tcPr>
                <w:p w14:paraId="31C066D1" w14:textId="77777777" w:rsidR="006C6932" w:rsidRPr="001F65EF" w:rsidRDefault="006C6932" w:rsidP="006C6932">
                  <w:pPr>
                    <w:pStyle w:val="ContentinTable"/>
                    <w:spacing w:before="40" w:after="40" w:line="240" w:lineRule="auto"/>
                    <w:jc w:val="center"/>
                    <w:rPr>
                      <w:b/>
                      <w:bCs/>
                      <w:sz w:val="24"/>
                      <w:lang w:val="en-GB"/>
                    </w:rPr>
                  </w:pPr>
                  <w:r w:rsidRPr="001F65EF">
                    <w:rPr>
                      <w:b/>
                      <w:bCs/>
                      <w:sz w:val="24"/>
                      <w:lang w:val="en-GB"/>
                    </w:rPr>
                    <w:t>WMCR Amount</w:t>
                  </w:r>
                </w:p>
                <w:p w14:paraId="3D353652" w14:textId="77777777" w:rsidR="006C6932" w:rsidRPr="001F65EF" w:rsidRDefault="006C6932" w:rsidP="006C6932">
                  <w:pPr>
                    <w:pStyle w:val="ContentinTable"/>
                    <w:spacing w:before="40" w:after="40" w:line="240" w:lineRule="auto"/>
                    <w:jc w:val="center"/>
                    <w:rPr>
                      <w:sz w:val="24"/>
                      <w:lang w:val="en-GB"/>
                    </w:rPr>
                  </w:pPr>
                </w:p>
                <w:p w14:paraId="3D71ABD3" w14:textId="77777777" w:rsidR="006C6932" w:rsidRPr="001F65EF" w:rsidRDefault="006C6932" w:rsidP="006C6932">
                  <w:pPr>
                    <w:pStyle w:val="ContentinTable"/>
                    <w:spacing w:before="40" w:after="40" w:line="240" w:lineRule="auto"/>
                    <w:jc w:val="center"/>
                    <w:rPr>
                      <w:sz w:val="24"/>
                      <w:lang w:val="en-GB"/>
                    </w:rPr>
                  </w:pPr>
                  <w:r w:rsidRPr="001F65EF">
                    <w:rPr>
                      <w:sz w:val="24"/>
                      <w:lang w:val="en-GB"/>
                    </w:rPr>
                    <w:t>For a qualifying Singapore citizen child born or adopted before 1 January 2024</w:t>
                  </w:r>
                </w:p>
              </w:tc>
            </w:tr>
            <w:tr w:rsidR="006C6932" w:rsidRPr="001F65EF" w14:paraId="22E659C3" w14:textId="77777777" w:rsidTr="003F5FB6">
              <w:tc>
                <w:tcPr>
                  <w:tcW w:w="1886" w:type="dxa"/>
                </w:tcPr>
                <w:p w14:paraId="522E131A" w14:textId="77777777" w:rsidR="006C6932" w:rsidRPr="001F65EF" w:rsidRDefault="006C6932" w:rsidP="006C6932">
                  <w:pPr>
                    <w:pStyle w:val="ContentinTable"/>
                    <w:spacing w:before="40" w:after="40" w:line="240" w:lineRule="auto"/>
                    <w:jc w:val="left"/>
                    <w:rPr>
                      <w:sz w:val="24"/>
                      <w:lang w:val="en-GB"/>
                    </w:rPr>
                  </w:pPr>
                  <w:r w:rsidRPr="001F65EF">
                    <w:rPr>
                      <w:sz w:val="24"/>
                      <w:lang w:val="en-GB"/>
                    </w:rPr>
                    <w:t>1st</w:t>
                  </w:r>
                </w:p>
              </w:tc>
              <w:tc>
                <w:tcPr>
                  <w:tcW w:w="3432" w:type="dxa"/>
                </w:tcPr>
                <w:p w14:paraId="4C9FA0BD" w14:textId="77777777" w:rsidR="006C6932" w:rsidRPr="001F65EF" w:rsidRDefault="006C6932" w:rsidP="006C6932">
                  <w:pPr>
                    <w:pStyle w:val="ContentinTable"/>
                    <w:spacing w:before="40" w:after="40" w:line="240" w:lineRule="auto"/>
                    <w:jc w:val="center"/>
                    <w:rPr>
                      <w:sz w:val="24"/>
                      <w:lang w:val="en-GB"/>
                    </w:rPr>
                  </w:pPr>
                  <w:r w:rsidRPr="001F65EF">
                    <w:rPr>
                      <w:sz w:val="24"/>
                      <w:lang w:val="en-GB"/>
                    </w:rPr>
                    <w:t>15% of mother’s earned income</w:t>
                  </w:r>
                </w:p>
              </w:tc>
            </w:tr>
            <w:tr w:rsidR="006C6932" w:rsidRPr="001F65EF" w14:paraId="45B42E24" w14:textId="77777777" w:rsidTr="003F5FB6">
              <w:tc>
                <w:tcPr>
                  <w:tcW w:w="1886" w:type="dxa"/>
                </w:tcPr>
                <w:p w14:paraId="7A0E6547" w14:textId="77777777" w:rsidR="006C6932" w:rsidRPr="001F65EF" w:rsidRDefault="006C6932" w:rsidP="006C6932">
                  <w:pPr>
                    <w:pStyle w:val="ContentinTable"/>
                    <w:spacing w:before="40" w:after="40" w:line="240" w:lineRule="auto"/>
                    <w:jc w:val="left"/>
                    <w:rPr>
                      <w:sz w:val="24"/>
                      <w:lang w:val="en-GB"/>
                    </w:rPr>
                  </w:pPr>
                  <w:r w:rsidRPr="001F65EF">
                    <w:rPr>
                      <w:sz w:val="24"/>
                      <w:lang w:val="en-GB"/>
                    </w:rPr>
                    <w:t>2nd</w:t>
                  </w:r>
                </w:p>
              </w:tc>
              <w:tc>
                <w:tcPr>
                  <w:tcW w:w="3432" w:type="dxa"/>
                </w:tcPr>
                <w:p w14:paraId="15505406" w14:textId="77777777" w:rsidR="006C6932" w:rsidRPr="001F65EF" w:rsidRDefault="006C6932" w:rsidP="006C6932">
                  <w:pPr>
                    <w:pStyle w:val="ContentinTable"/>
                    <w:spacing w:before="40" w:after="40" w:line="240" w:lineRule="auto"/>
                    <w:jc w:val="center"/>
                    <w:rPr>
                      <w:sz w:val="24"/>
                      <w:lang w:val="en-GB"/>
                    </w:rPr>
                  </w:pPr>
                  <w:r w:rsidRPr="001F65EF">
                    <w:rPr>
                      <w:sz w:val="24"/>
                      <w:lang w:val="en-GB"/>
                    </w:rPr>
                    <w:t>20% of mother’s earned income</w:t>
                  </w:r>
                </w:p>
              </w:tc>
            </w:tr>
            <w:tr w:rsidR="006C6932" w:rsidRPr="001F65EF" w14:paraId="10E9FC7E" w14:textId="77777777" w:rsidTr="003F5FB6">
              <w:tc>
                <w:tcPr>
                  <w:tcW w:w="1886" w:type="dxa"/>
                </w:tcPr>
                <w:p w14:paraId="2C5AEB41" w14:textId="77777777" w:rsidR="006C6932" w:rsidRPr="001F65EF" w:rsidRDefault="006C6932" w:rsidP="006C6932">
                  <w:pPr>
                    <w:pStyle w:val="ContentinTable"/>
                    <w:spacing w:before="40" w:after="40" w:line="240" w:lineRule="auto"/>
                    <w:jc w:val="left"/>
                    <w:rPr>
                      <w:sz w:val="24"/>
                      <w:lang w:val="en-GB"/>
                    </w:rPr>
                  </w:pPr>
                  <w:r w:rsidRPr="001F65EF">
                    <w:rPr>
                      <w:sz w:val="24"/>
                      <w:lang w:val="en-GB"/>
                    </w:rPr>
                    <w:t>3rd and beyond</w:t>
                  </w:r>
                </w:p>
              </w:tc>
              <w:tc>
                <w:tcPr>
                  <w:tcW w:w="3432" w:type="dxa"/>
                </w:tcPr>
                <w:p w14:paraId="36FFDDBA" w14:textId="77777777" w:rsidR="006C6932" w:rsidRPr="001F65EF" w:rsidRDefault="006C6932" w:rsidP="006C6932">
                  <w:pPr>
                    <w:pStyle w:val="ContentinTable"/>
                    <w:spacing w:before="40" w:after="40" w:line="240" w:lineRule="auto"/>
                    <w:jc w:val="center"/>
                    <w:rPr>
                      <w:sz w:val="24"/>
                      <w:lang w:val="en-GB"/>
                    </w:rPr>
                  </w:pPr>
                  <w:r w:rsidRPr="001F65EF">
                    <w:rPr>
                      <w:sz w:val="24"/>
                      <w:lang w:val="en-GB"/>
                    </w:rPr>
                    <w:t>25% of mother’s earned income</w:t>
                  </w:r>
                </w:p>
              </w:tc>
            </w:tr>
          </w:tbl>
          <w:p w14:paraId="7B883208" w14:textId="77777777" w:rsidR="006C6932" w:rsidRPr="001F65EF" w:rsidRDefault="006C6932" w:rsidP="006C6932">
            <w:pPr>
              <w:pStyle w:val="ContentinTable"/>
              <w:spacing w:beforeLines="40" w:before="96" w:afterLines="40" w:after="96" w:line="240" w:lineRule="auto"/>
              <w:rPr>
                <w:sz w:val="24"/>
                <w:lang w:val="en-GB"/>
              </w:rPr>
            </w:pPr>
          </w:p>
          <w:p w14:paraId="32F448F4"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lastRenderedPageBreak/>
              <w:t>The total WMCR amount that an eligible working mother can claim for all her qualifying children is capped at 100% of the mother’s earned income for the YA.</w:t>
            </w:r>
          </w:p>
          <w:p w14:paraId="609F8FC8" w14:textId="77777777" w:rsidR="006C6932" w:rsidRPr="001F65EF" w:rsidRDefault="006C6932" w:rsidP="006C6932">
            <w:pPr>
              <w:pStyle w:val="ContentinTable"/>
              <w:spacing w:beforeLines="40" w:before="96" w:afterLines="40" w:after="96" w:line="240" w:lineRule="auto"/>
              <w:rPr>
                <w:sz w:val="24"/>
                <w:lang w:val="en-GB"/>
              </w:rPr>
            </w:pPr>
          </w:p>
          <w:p w14:paraId="645BCF02"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 xml:space="preserve">For an eligible working mother with a qualifying Singapore citizen child born or adopted before 1 January 2024, there is no change to the WMCR that the mother can claim. Working mothers of these children can continue to claim the WMCR in respect of these children based on the existing design and quantum, </w:t>
            </w:r>
            <w:proofErr w:type="gramStart"/>
            <w:r w:rsidRPr="001F65EF">
              <w:rPr>
                <w:sz w:val="24"/>
                <w:lang w:val="en-GB"/>
              </w:rPr>
              <w:t>i.e.</w:t>
            </w:r>
            <w:proofErr w:type="gramEnd"/>
            <w:r w:rsidRPr="001F65EF">
              <w:rPr>
                <w:sz w:val="24"/>
                <w:lang w:val="en-GB"/>
              </w:rPr>
              <w:t xml:space="preserve"> a percentage of their earned income.</w:t>
            </w:r>
          </w:p>
          <w:p w14:paraId="31217A63" w14:textId="77777777" w:rsidR="006C6932" w:rsidRPr="001F65EF" w:rsidRDefault="006C6932" w:rsidP="00426C3A">
            <w:pPr>
              <w:pStyle w:val="ContentinTable"/>
              <w:spacing w:beforeLines="40" w:before="96" w:afterLines="40" w:after="96" w:line="240" w:lineRule="auto"/>
              <w:rPr>
                <w:sz w:val="24"/>
                <w:lang w:val="en-GB"/>
              </w:rPr>
            </w:pPr>
          </w:p>
          <w:p w14:paraId="6C60E8B3"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 xml:space="preserve">As part of the review of the Government’s support for Marriage &amp; Parenthood, the WMCR will be changed to a fixed dollar tax relief for eligible working mothers in respect of qualifying children who are Singapore citizens born or adopted on or after 1 January 2024. </w:t>
            </w:r>
          </w:p>
          <w:p w14:paraId="5CCC18D5" w14:textId="77777777" w:rsidR="006C6932" w:rsidRPr="001F65EF" w:rsidRDefault="006C6932" w:rsidP="006C6932">
            <w:pPr>
              <w:pStyle w:val="ContentinTable"/>
              <w:spacing w:beforeLines="40" w:before="96" w:afterLines="40" w:after="96" w:line="240" w:lineRule="auto"/>
              <w:rPr>
                <w:sz w:val="24"/>
                <w:lang w:val="en-GB"/>
              </w:rPr>
            </w:pPr>
          </w:p>
          <w:p w14:paraId="1CE17C52"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 xml:space="preserve">The WMCR amount for eligible working mothers in respect of a qualifying child who is a Singapore citizen born or adopted on or after 1 January 2024 </w:t>
            </w:r>
            <w:r>
              <w:rPr>
                <w:sz w:val="24"/>
                <w:lang w:val="en-GB"/>
              </w:rPr>
              <w:t xml:space="preserve">will </w:t>
            </w:r>
            <w:r w:rsidRPr="00F232B6">
              <w:rPr>
                <w:sz w:val="24"/>
                <w:lang w:val="en-GB"/>
              </w:rPr>
              <w:t>be</w:t>
            </w:r>
            <w:r w:rsidRPr="001F65EF">
              <w:rPr>
                <w:sz w:val="24"/>
                <w:lang w:val="en-GB"/>
              </w:rPr>
              <w:t xml:space="preserve"> as follows:</w:t>
            </w:r>
          </w:p>
          <w:tbl>
            <w:tblPr>
              <w:tblStyle w:val="TableGrid"/>
              <w:tblW w:w="4712" w:type="dxa"/>
              <w:tblLayout w:type="fixed"/>
              <w:tblLook w:val="04A0" w:firstRow="1" w:lastRow="0" w:firstColumn="1" w:lastColumn="0" w:noHBand="0" w:noVBand="1"/>
            </w:tblPr>
            <w:tblGrid>
              <w:gridCol w:w="1736"/>
              <w:gridCol w:w="2976"/>
            </w:tblGrid>
            <w:tr w:rsidR="006C6932" w:rsidRPr="001F65EF" w14:paraId="1CB4C0DD" w14:textId="77777777" w:rsidTr="003F5FB6">
              <w:trPr>
                <w:tblHeader/>
              </w:trPr>
              <w:tc>
                <w:tcPr>
                  <w:tcW w:w="1736" w:type="dxa"/>
                  <w:shd w:val="clear" w:color="auto" w:fill="EEECE1" w:themeFill="background2"/>
                  <w:vAlign w:val="center"/>
                </w:tcPr>
                <w:p w14:paraId="55CD3F27" w14:textId="77777777" w:rsidR="006C6932" w:rsidRPr="001F65EF" w:rsidRDefault="006C6932" w:rsidP="006C6932">
                  <w:pPr>
                    <w:pStyle w:val="ContentinTable"/>
                    <w:spacing w:before="40" w:after="40" w:line="240" w:lineRule="auto"/>
                    <w:ind w:right="0"/>
                    <w:jc w:val="center"/>
                    <w:rPr>
                      <w:sz w:val="24"/>
                      <w:lang w:val="en-GB"/>
                    </w:rPr>
                  </w:pPr>
                  <w:r w:rsidRPr="001F65EF">
                    <w:rPr>
                      <w:b/>
                      <w:bCs/>
                      <w:sz w:val="24"/>
                      <w:lang w:val="en-GB"/>
                    </w:rPr>
                    <w:lastRenderedPageBreak/>
                    <w:t>Child Order</w:t>
                  </w:r>
                </w:p>
              </w:tc>
              <w:tc>
                <w:tcPr>
                  <w:tcW w:w="2976" w:type="dxa"/>
                  <w:shd w:val="clear" w:color="auto" w:fill="EEECE1" w:themeFill="background2"/>
                  <w:vAlign w:val="center"/>
                </w:tcPr>
                <w:p w14:paraId="3DFCAB43" w14:textId="77777777" w:rsidR="006C6932" w:rsidRPr="001F65EF" w:rsidRDefault="006C6932" w:rsidP="006C6932">
                  <w:pPr>
                    <w:pStyle w:val="ContentinTable"/>
                    <w:spacing w:before="40" w:after="40" w:line="240" w:lineRule="auto"/>
                    <w:ind w:right="0"/>
                    <w:jc w:val="center"/>
                    <w:rPr>
                      <w:b/>
                      <w:bCs/>
                      <w:sz w:val="24"/>
                      <w:lang w:val="en-GB"/>
                    </w:rPr>
                  </w:pPr>
                  <w:r w:rsidRPr="001F65EF">
                    <w:rPr>
                      <w:b/>
                      <w:bCs/>
                      <w:sz w:val="24"/>
                      <w:lang w:val="en-GB"/>
                    </w:rPr>
                    <w:t>WMCR Amount</w:t>
                  </w:r>
                </w:p>
                <w:p w14:paraId="2156DEF9" w14:textId="61E801FC" w:rsidR="006C6932" w:rsidRPr="001F65EF" w:rsidRDefault="006C6932" w:rsidP="006C6932">
                  <w:pPr>
                    <w:pStyle w:val="ContentinTable"/>
                    <w:spacing w:before="40" w:after="40" w:line="240" w:lineRule="auto"/>
                    <w:ind w:right="0"/>
                    <w:jc w:val="center"/>
                    <w:rPr>
                      <w:sz w:val="24"/>
                      <w:lang w:val="en-GB"/>
                    </w:rPr>
                  </w:pPr>
                  <w:r w:rsidRPr="001F65EF">
                    <w:rPr>
                      <w:sz w:val="24"/>
                      <w:lang w:val="en-GB"/>
                    </w:rPr>
                    <w:t>For a qualifying Singapore citizen child born or adopted on or after 1 January 2024</w:t>
                  </w:r>
                </w:p>
              </w:tc>
            </w:tr>
            <w:tr w:rsidR="006C6932" w:rsidRPr="001F65EF" w14:paraId="3FAC2351" w14:textId="77777777" w:rsidTr="003F5FB6">
              <w:tc>
                <w:tcPr>
                  <w:tcW w:w="1736" w:type="dxa"/>
                </w:tcPr>
                <w:p w14:paraId="5D579FEC" w14:textId="77777777" w:rsidR="006C6932" w:rsidRPr="001F65EF" w:rsidRDefault="006C6932" w:rsidP="006C6932">
                  <w:pPr>
                    <w:pStyle w:val="ContentinTable"/>
                    <w:spacing w:before="40" w:after="40" w:line="240" w:lineRule="auto"/>
                    <w:ind w:right="0"/>
                    <w:jc w:val="left"/>
                    <w:rPr>
                      <w:sz w:val="24"/>
                      <w:lang w:val="en-GB"/>
                    </w:rPr>
                  </w:pPr>
                  <w:r w:rsidRPr="001F65EF">
                    <w:rPr>
                      <w:sz w:val="24"/>
                      <w:lang w:val="en-GB"/>
                    </w:rPr>
                    <w:t>1st</w:t>
                  </w:r>
                </w:p>
              </w:tc>
              <w:tc>
                <w:tcPr>
                  <w:tcW w:w="2976" w:type="dxa"/>
                </w:tcPr>
                <w:p w14:paraId="059EFF13" w14:textId="77777777" w:rsidR="006C6932" w:rsidRPr="001F65EF" w:rsidRDefault="006C6932" w:rsidP="006C6932">
                  <w:pPr>
                    <w:pStyle w:val="ContentinTable"/>
                    <w:spacing w:before="40" w:after="40" w:line="240" w:lineRule="auto"/>
                    <w:ind w:right="0"/>
                    <w:jc w:val="right"/>
                    <w:rPr>
                      <w:sz w:val="24"/>
                      <w:lang w:val="en-GB"/>
                    </w:rPr>
                  </w:pPr>
                  <w:r w:rsidRPr="001F65EF">
                    <w:rPr>
                      <w:sz w:val="24"/>
                      <w:lang w:val="en-GB"/>
                    </w:rPr>
                    <w:t>$8,000</w:t>
                  </w:r>
                </w:p>
              </w:tc>
            </w:tr>
            <w:tr w:rsidR="006C6932" w:rsidRPr="001F65EF" w14:paraId="1F827FDA" w14:textId="77777777" w:rsidTr="003F5FB6">
              <w:tc>
                <w:tcPr>
                  <w:tcW w:w="1736" w:type="dxa"/>
                </w:tcPr>
                <w:p w14:paraId="49D3A2BB" w14:textId="77777777" w:rsidR="006C6932" w:rsidRPr="001F65EF" w:rsidRDefault="006C6932" w:rsidP="006C6932">
                  <w:pPr>
                    <w:pStyle w:val="ContentinTable"/>
                    <w:spacing w:before="40" w:after="40" w:line="240" w:lineRule="auto"/>
                    <w:ind w:right="0"/>
                    <w:jc w:val="left"/>
                    <w:rPr>
                      <w:sz w:val="24"/>
                      <w:lang w:val="en-GB"/>
                    </w:rPr>
                  </w:pPr>
                  <w:r w:rsidRPr="001F65EF">
                    <w:rPr>
                      <w:sz w:val="24"/>
                      <w:lang w:val="en-GB"/>
                    </w:rPr>
                    <w:t>2nd</w:t>
                  </w:r>
                </w:p>
              </w:tc>
              <w:tc>
                <w:tcPr>
                  <w:tcW w:w="2976" w:type="dxa"/>
                </w:tcPr>
                <w:p w14:paraId="5716C4A3" w14:textId="77777777" w:rsidR="006C6932" w:rsidRPr="001F65EF" w:rsidRDefault="006C6932" w:rsidP="006C6932">
                  <w:pPr>
                    <w:pStyle w:val="ContentinTable"/>
                    <w:spacing w:before="40" w:after="40" w:line="240" w:lineRule="auto"/>
                    <w:ind w:right="0"/>
                    <w:jc w:val="right"/>
                    <w:rPr>
                      <w:sz w:val="24"/>
                      <w:lang w:val="en-GB"/>
                    </w:rPr>
                  </w:pPr>
                  <w:r w:rsidRPr="001F65EF">
                    <w:rPr>
                      <w:sz w:val="24"/>
                      <w:lang w:val="en-GB"/>
                    </w:rPr>
                    <w:t>$10,000</w:t>
                  </w:r>
                </w:p>
              </w:tc>
            </w:tr>
            <w:tr w:rsidR="006C6932" w:rsidRPr="001F65EF" w14:paraId="4B7A9FED" w14:textId="77777777" w:rsidTr="003F5FB6">
              <w:trPr>
                <w:trHeight w:val="170"/>
              </w:trPr>
              <w:tc>
                <w:tcPr>
                  <w:tcW w:w="1736" w:type="dxa"/>
                </w:tcPr>
                <w:p w14:paraId="6C6F917B" w14:textId="77777777" w:rsidR="006C6932" w:rsidRPr="001F65EF" w:rsidRDefault="006C6932" w:rsidP="006C6932">
                  <w:pPr>
                    <w:pStyle w:val="ContentinTable"/>
                    <w:spacing w:before="40" w:after="40" w:line="240" w:lineRule="auto"/>
                    <w:ind w:right="0"/>
                    <w:jc w:val="left"/>
                    <w:rPr>
                      <w:sz w:val="24"/>
                      <w:lang w:val="en-GB"/>
                    </w:rPr>
                  </w:pPr>
                  <w:r w:rsidRPr="001F65EF">
                    <w:rPr>
                      <w:sz w:val="24"/>
                      <w:lang w:val="en-GB"/>
                    </w:rPr>
                    <w:t>3rd and beyond</w:t>
                  </w:r>
                </w:p>
              </w:tc>
              <w:tc>
                <w:tcPr>
                  <w:tcW w:w="2976" w:type="dxa"/>
                </w:tcPr>
                <w:p w14:paraId="0F2CF9DF" w14:textId="77777777" w:rsidR="006C6932" w:rsidRPr="001F65EF" w:rsidRDefault="006C6932" w:rsidP="006C6932">
                  <w:pPr>
                    <w:pStyle w:val="ContentinTable"/>
                    <w:spacing w:before="40" w:after="40" w:line="240" w:lineRule="auto"/>
                    <w:ind w:right="0"/>
                    <w:jc w:val="right"/>
                    <w:rPr>
                      <w:sz w:val="24"/>
                      <w:lang w:val="en-GB"/>
                    </w:rPr>
                  </w:pPr>
                  <w:r w:rsidRPr="001F65EF">
                    <w:rPr>
                      <w:sz w:val="24"/>
                      <w:lang w:val="en-GB"/>
                    </w:rPr>
                    <w:t>$12,000</w:t>
                  </w:r>
                </w:p>
              </w:tc>
            </w:tr>
          </w:tbl>
          <w:p w14:paraId="59B903A1" w14:textId="77777777" w:rsidR="00516F72" w:rsidRDefault="00516F72" w:rsidP="006C6932">
            <w:pPr>
              <w:pStyle w:val="ContentinTable"/>
              <w:spacing w:beforeLines="40" w:before="96" w:afterLines="40" w:after="96" w:line="240" w:lineRule="auto"/>
              <w:rPr>
                <w:sz w:val="24"/>
                <w:lang w:val="en-GB"/>
              </w:rPr>
            </w:pPr>
          </w:p>
          <w:p w14:paraId="5FB17751" w14:textId="77777777" w:rsidR="006C6932" w:rsidRDefault="006C6932" w:rsidP="008448FF">
            <w:pPr>
              <w:pStyle w:val="ContentinTable"/>
              <w:spacing w:beforeLines="40" w:before="96" w:afterLines="40" w:after="96" w:line="240" w:lineRule="auto"/>
              <w:rPr>
                <w:sz w:val="24"/>
                <w:lang w:val="en-GB"/>
              </w:rPr>
            </w:pPr>
            <w:r w:rsidRPr="001F65EF">
              <w:rPr>
                <w:sz w:val="24"/>
                <w:lang w:val="en-GB"/>
              </w:rPr>
              <w:t>WMCR will continue to be part of a suite of support measures for eligible working mothers, including lower- to middle- income working mothers of qualifying Singapore citizen children.</w:t>
            </w:r>
            <w:r w:rsidR="00BB1B5B">
              <w:rPr>
                <w:sz w:val="24"/>
                <w:lang w:val="en-GB"/>
              </w:rPr>
              <w:t xml:space="preserve"> </w:t>
            </w:r>
            <w:r w:rsidRPr="3FE3FCC8">
              <w:rPr>
                <w:sz w:val="24"/>
                <w:lang w:val="en-GB"/>
              </w:rPr>
              <w:t>This change will take effect from the YA 2025</w:t>
            </w:r>
            <w:r w:rsidR="000B7E5A">
              <w:rPr>
                <w:sz w:val="24"/>
                <w:lang w:val="en-GB"/>
              </w:rPr>
              <w:t>.</w:t>
            </w:r>
          </w:p>
          <w:p w14:paraId="119424C5" w14:textId="2000F486" w:rsidR="008245D8" w:rsidRPr="008448FF" w:rsidRDefault="008245D8" w:rsidP="008448FF">
            <w:pPr>
              <w:pStyle w:val="ContentinTable"/>
              <w:spacing w:beforeLines="40" w:before="96" w:afterLines="40" w:after="96" w:line="240" w:lineRule="auto"/>
              <w:rPr>
                <w:sz w:val="24"/>
                <w:lang w:val="en-GB"/>
              </w:rPr>
            </w:pPr>
          </w:p>
        </w:tc>
        <w:tc>
          <w:tcPr>
            <w:tcW w:w="2082" w:type="dxa"/>
          </w:tcPr>
          <w:p w14:paraId="4BE301DA" w14:textId="77777777" w:rsidR="00811118" w:rsidRDefault="00AE336F" w:rsidP="006C6932">
            <w:pPr>
              <w:pStyle w:val="wordsection1"/>
              <w:jc w:val="both"/>
              <w:rPr>
                <w:lang w:val="en-US"/>
              </w:rPr>
            </w:pPr>
            <w:r w:rsidRPr="00426C3A">
              <w:rPr>
                <w:lang w:val="en-US"/>
              </w:rPr>
              <w:lastRenderedPageBreak/>
              <w:t>Fifth Schedule</w:t>
            </w:r>
          </w:p>
          <w:p w14:paraId="5454540E" w14:textId="77777777" w:rsidR="00811118" w:rsidRDefault="00811118" w:rsidP="006C6932">
            <w:pPr>
              <w:pStyle w:val="wordsection1"/>
              <w:jc w:val="both"/>
              <w:rPr>
                <w:lang w:val="en-US"/>
              </w:rPr>
            </w:pPr>
          </w:p>
          <w:p w14:paraId="7B53646B" w14:textId="26350B0B" w:rsidR="006C6932" w:rsidRDefault="00811118" w:rsidP="006C6932">
            <w:pPr>
              <w:pStyle w:val="wordsection1"/>
              <w:jc w:val="both"/>
              <w:rPr>
                <w:lang w:val="en-US"/>
              </w:rPr>
            </w:pPr>
            <w:r>
              <w:rPr>
                <w:lang w:val="en-US"/>
              </w:rPr>
              <w:t xml:space="preserve">[Clause </w:t>
            </w:r>
            <w:r w:rsidR="0036132D">
              <w:rPr>
                <w:lang w:val="en-US"/>
              </w:rPr>
              <w:t>49</w:t>
            </w:r>
            <w:r>
              <w:rPr>
                <w:lang w:val="en-US"/>
              </w:rPr>
              <w:t>]</w:t>
            </w:r>
          </w:p>
        </w:tc>
      </w:tr>
      <w:tr w:rsidR="006C6932" w:rsidRPr="000974A2" w14:paraId="3ED15D40" w14:textId="77777777" w:rsidTr="3653BBEC">
        <w:trPr>
          <w:jc w:val="center"/>
        </w:trPr>
        <w:tc>
          <w:tcPr>
            <w:tcW w:w="846" w:type="dxa"/>
          </w:tcPr>
          <w:p w14:paraId="4223378C" w14:textId="77777777" w:rsidR="006C6932" w:rsidRPr="000974A2" w:rsidRDefault="006C6932">
            <w:pPr>
              <w:widowControl w:val="0"/>
              <w:numPr>
                <w:ilvl w:val="0"/>
                <w:numId w:val="2"/>
              </w:numPr>
              <w:jc w:val="both"/>
              <w:rPr>
                <w:rFonts w:eastAsia="PMingLiU"/>
                <w:b/>
              </w:rPr>
            </w:pPr>
          </w:p>
        </w:tc>
        <w:tc>
          <w:tcPr>
            <w:tcW w:w="3260" w:type="dxa"/>
          </w:tcPr>
          <w:p w14:paraId="5C16D3D1" w14:textId="306BAE33" w:rsidR="006C6932" w:rsidRPr="000974A2" w:rsidRDefault="006C6932" w:rsidP="006C6932">
            <w:pPr>
              <w:pStyle w:val="Default"/>
              <w:jc w:val="both"/>
            </w:pPr>
            <w:r w:rsidRPr="001F65EF">
              <w:t>Lapse the Foreign Domestic Worker Levy Relief (“FDWLR”) from YA 2025</w:t>
            </w:r>
          </w:p>
        </w:tc>
        <w:tc>
          <w:tcPr>
            <w:tcW w:w="6869" w:type="dxa"/>
          </w:tcPr>
          <w:p w14:paraId="2E069918" w14:textId="77777777" w:rsidR="006C6932" w:rsidRPr="001F65EF" w:rsidRDefault="006C6932" w:rsidP="00725300">
            <w:pPr>
              <w:pStyle w:val="Default"/>
              <w:jc w:val="both"/>
            </w:pPr>
            <w:r w:rsidRPr="001F65EF">
              <w:t>Currently, a woman resident in Singapore who, in the year immediately preceding the YA of claim, was —</w:t>
            </w:r>
          </w:p>
          <w:p w14:paraId="4E2BFAE5" w14:textId="77777777" w:rsidR="006C6932" w:rsidRPr="001F65EF" w:rsidRDefault="006C6932">
            <w:pPr>
              <w:pStyle w:val="ContentinTable"/>
              <w:numPr>
                <w:ilvl w:val="0"/>
                <w:numId w:val="10"/>
              </w:numPr>
              <w:adjustRightInd/>
              <w:spacing w:beforeLines="40" w:before="96" w:afterLines="40" w:after="96" w:line="240" w:lineRule="auto"/>
              <w:rPr>
                <w:sz w:val="24"/>
                <w:lang w:val="en-GB"/>
              </w:rPr>
            </w:pPr>
            <w:r w:rsidRPr="001F65EF">
              <w:rPr>
                <w:sz w:val="24"/>
                <w:lang w:val="en-GB"/>
              </w:rPr>
              <w:t>living with her husband; or</w:t>
            </w:r>
          </w:p>
          <w:p w14:paraId="0845007B" w14:textId="77777777" w:rsidR="006C6932" w:rsidRPr="001F65EF" w:rsidRDefault="006C6932">
            <w:pPr>
              <w:pStyle w:val="ContentinTable"/>
              <w:numPr>
                <w:ilvl w:val="0"/>
                <w:numId w:val="10"/>
              </w:numPr>
              <w:adjustRightInd/>
              <w:spacing w:beforeLines="40" w:before="96" w:afterLines="40" w:after="96" w:line="240" w:lineRule="auto"/>
              <w:rPr>
                <w:sz w:val="24"/>
                <w:lang w:val="en-GB"/>
              </w:rPr>
            </w:pPr>
            <w:r w:rsidRPr="001F65EF">
              <w:rPr>
                <w:sz w:val="24"/>
                <w:lang w:val="en-GB"/>
              </w:rPr>
              <w:t>married and her husband is not resident in Singapore; or</w:t>
            </w:r>
          </w:p>
          <w:p w14:paraId="5A3027A1" w14:textId="77777777" w:rsidR="006C6932" w:rsidRDefault="006C6932">
            <w:pPr>
              <w:pStyle w:val="ContentinTable"/>
              <w:numPr>
                <w:ilvl w:val="0"/>
                <w:numId w:val="10"/>
              </w:numPr>
              <w:adjustRightInd/>
              <w:spacing w:beforeLines="40" w:before="96" w:afterLines="40" w:after="96" w:line="240" w:lineRule="auto"/>
              <w:rPr>
                <w:sz w:val="24"/>
                <w:lang w:val="en-GB"/>
              </w:rPr>
            </w:pPr>
            <w:r w:rsidRPr="001F65EF">
              <w:rPr>
                <w:sz w:val="24"/>
                <w:lang w:val="en-GB"/>
              </w:rPr>
              <w:t xml:space="preserve">married but separated from her husband, a </w:t>
            </w:r>
            <w:proofErr w:type="gramStart"/>
            <w:r w:rsidRPr="001F65EF">
              <w:rPr>
                <w:sz w:val="24"/>
                <w:lang w:val="en-GB"/>
              </w:rPr>
              <w:t>divorcee</w:t>
            </w:r>
            <w:proofErr w:type="gramEnd"/>
            <w:r w:rsidRPr="001F65EF">
              <w:rPr>
                <w:sz w:val="24"/>
                <w:lang w:val="en-GB"/>
              </w:rPr>
              <w:t xml:space="preserve"> or a widow</w:t>
            </w:r>
            <w:r>
              <w:rPr>
                <w:sz w:val="24"/>
                <w:lang w:val="en-GB"/>
              </w:rPr>
              <w:t xml:space="preserve"> </w:t>
            </w:r>
            <w:r w:rsidRPr="00081418">
              <w:rPr>
                <w:sz w:val="24"/>
                <w:lang w:val="en-GB"/>
              </w:rPr>
              <w:t xml:space="preserve">and who, in the year immediately preceding the YA, has any unmarried child or children living with her in the </w:t>
            </w:r>
            <w:r w:rsidRPr="00081418">
              <w:rPr>
                <w:sz w:val="24"/>
                <w:lang w:val="en-GB"/>
              </w:rPr>
              <w:lastRenderedPageBreak/>
              <w:t xml:space="preserve">same household in Singapore in respect of whom she may be allowed a deduction under the Qualifying Child Relief, </w:t>
            </w:r>
          </w:p>
          <w:p w14:paraId="046D2721" w14:textId="77777777" w:rsidR="006C6932" w:rsidRPr="00081418" w:rsidRDefault="006C6932" w:rsidP="006C6932">
            <w:pPr>
              <w:pStyle w:val="ContentinTable"/>
              <w:spacing w:beforeLines="40" w:before="96" w:afterLines="40" w:after="96" w:line="240" w:lineRule="auto"/>
              <w:rPr>
                <w:sz w:val="24"/>
                <w:lang w:val="en-GB"/>
              </w:rPr>
            </w:pPr>
            <w:r w:rsidRPr="00081418">
              <w:rPr>
                <w:sz w:val="24"/>
                <w:lang w:val="en-GB"/>
              </w:rPr>
              <w:t>is allowed to claim FDWLR in respect of one migrant domestic worker employed by her or her husband.</w:t>
            </w:r>
          </w:p>
          <w:p w14:paraId="6A82D615" w14:textId="77777777" w:rsidR="006C6932" w:rsidRPr="001F65EF" w:rsidRDefault="006C6932" w:rsidP="006C6932">
            <w:pPr>
              <w:pStyle w:val="ContentinTable"/>
              <w:spacing w:beforeLines="40" w:before="96" w:afterLines="40" w:after="96" w:line="240" w:lineRule="auto"/>
              <w:rPr>
                <w:sz w:val="24"/>
                <w:lang w:val="en-GB"/>
              </w:rPr>
            </w:pPr>
          </w:p>
          <w:p w14:paraId="385BCD34"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The amount of FDWLR is twice the total migrant domestic worker levy paid in the year immediately preceding the YA of claim on one migrant domestic worker.</w:t>
            </w:r>
          </w:p>
          <w:p w14:paraId="34DC1B1C" w14:textId="77777777" w:rsidR="006C6932" w:rsidRPr="001F65EF" w:rsidRDefault="006C6932" w:rsidP="00426C3A">
            <w:pPr>
              <w:pStyle w:val="ContentinTable"/>
              <w:spacing w:beforeLines="40" w:before="96" w:afterLines="40" w:after="96" w:line="240" w:lineRule="auto"/>
              <w:rPr>
                <w:sz w:val="24"/>
                <w:lang w:val="en-GB"/>
              </w:rPr>
            </w:pPr>
          </w:p>
          <w:p w14:paraId="2765F14F" w14:textId="705A8E60"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The FDWLR was introduced in 1989 to support working married women who needed the help of a migrant domestic worker.</w:t>
            </w:r>
            <w:r w:rsidR="00332191">
              <w:rPr>
                <w:sz w:val="24"/>
                <w:lang w:val="en-GB"/>
              </w:rPr>
              <w:t xml:space="preserve"> </w:t>
            </w:r>
            <w:r w:rsidRPr="001F65EF">
              <w:rPr>
                <w:sz w:val="24"/>
                <w:lang w:val="en-GB"/>
              </w:rPr>
              <w:t xml:space="preserve">Since then, the Government has introduced </w:t>
            </w:r>
            <w:proofErr w:type="gramStart"/>
            <w:r w:rsidRPr="001F65EF">
              <w:rPr>
                <w:sz w:val="24"/>
                <w:lang w:val="en-GB"/>
              </w:rPr>
              <w:t>a number of</w:t>
            </w:r>
            <w:proofErr w:type="gramEnd"/>
            <w:r w:rsidRPr="001F65EF">
              <w:rPr>
                <w:sz w:val="24"/>
                <w:lang w:val="en-GB"/>
              </w:rPr>
              <w:t xml:space="preserve"> schemes that directly support those caring for dependants, including working mothers. </w:t>
            </w:r>
            <w:proofErr w:type="gramStart"/>
            <w:r w:rsidRPr="001F65EF">
              <w:rPr>
                <w:sz w:val="24"/>
                <w:lang w:val="en-GB"/>
              </w:rPr>
              <w:t>In particular, those</w:t>
            </w:r>
            <w:proofErr w:type="gramEnd"/>
            <w:r w:rsidRPr="001F65EF">
              <w:rPr>
                <w:sz w:val="24"/>
                <w:lang w:val="en-GB"/>
              </w:rPr>
              <w:t xml:space="preserve"> living with children below 16 years old, elderly or persons with disabilities who require the help of a migrant domestic worker enjoy a concessionary levy of $60 per month, instead of the usual levy of $300 or $450 per month for the first and subsequent helper respectively. This concessionary levy directly benefits all families who need help with caring for their depend</w:t>
            </w:r>
            <w:r>
              <w:rPr>
                <w:sz w:val="24"/>
                <w:lang w:val="en-GB"/>
              </w:rPr>
              <w:t>a</w:t>
            </w:r>
            <w:r w:rsidRPr="001F65EF">
              <w:rPr>
                <w:sz w:val="24"/>
                <w:lang w:val="en-GB"/>
              </w:rPr>
              <w:t xml:space="preserve">nts, including those who do not pay income tax. </w:t>
            </w:r>
          </w:p>
          <w:p w14:paraId="0CE71F32" w14:textId="77777777" w:rsidR="006C6932" w:rsidRPr="001F65EF" w:rsidRDefault="006C6932" w:rsidP="006C6932">
            <w:pPr>
              <w:pStyle w:val="ContentinTable"/>
              <w:spacing w:beforeLines="40" w:before="96" w:afterLines="40" w:after="96" w:line="240" w:lineRule="auto"/>
              <w:rPr>
                <w:sz w:val="24"/>
                <w:lang w:val="en-GB"/>
              </w:rPr>
            </w:pPr>
          </w:p>
          <w:p w14:paraId="19A47D2F" w14:textId="52D5A38D"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lastRenderedPageBreak/>
              <w:t>The FDWLR will be lapsed for all taxpayers with effect from the YA 2025</w:t>
            </w:r>
            <w:r w:rsidR="00983929">
              <w:rPr>
                <w:sz w:val="24"/>
                <w:lang w:val="en-GB"/>
              </w:rPr>
              <w:t>.</w:t>
            </w:r>
          </w:p>
          <w:p w14:paraId="72C8F095" w14:textId="77777777" w:rsidR="006C6932" w:rsidRPr="000974A2" w:rsidRDefault="006C6932" w:rsidP="006C6932">
            <w:pPr>
              <w:pStyle w:val="wordsection1"/>
              <w:jc w:val="both"/>
              <w:rPr>
                <w:lang w:val="en-US"/>
              </w:rPr>
            </w:pPr>
          </w:p>
        </w:tc>
        <w:tc>
          <w:tcPr>
            <w:tcW w:w="2082" w:type="dxa"/>
          </w:tcPr>
          <w:p w14:paraId="5E4A0D48" w14:textId="77777777" w:rsidR="006C6932" w:rsidRDefault="0089246E" w:rsidP="006C6932">
            <w:pPr>
              <w:pStyle w:val="wordsection1"/>
              <w:jc w:val="both"/>
              <w:rPr>
                <w:lang w:val="en-US"/>
              </w:rPr>
            </w:pPr>
            <w:r w:rsidRPr="00E22111">
              <w:rPr>
                <w:lang w:val="en-US"/>
              </w:rPr>
              <w:lastRenderedPageBreak/>
              <w:t>Section 39</w:t>
            </w:r>
            <w:r w:rsidRPr="00426C3A">
              <w:rPr>
                <w:lang w:val="en-US"/>
              </w:rPr>
              <w:t>(11)</w:t>
            </w:r>
          </w:p>
          <w:p w14:paraId="5F118819" w14:textId="77777777" w:rsidR="00C04E7C" w:rsidRDefault="00C04E7C" w:rsidP="006C6932">
            <w:pPr>
              <w:pStyle w:val="wordsection1"/>
              <w:jc w:val="both"/>
              <w:rPr>
                <w:lang w:val="en-US"/>
              </w:rPr>
            </w:pPr>
          </w:p>
          <w:p w14:paraId="21C28768" w14:textId="5BF568A8" w:rsidR="00C04E7C" w:rsidRDefault="00C04E7C" w:rsidP="006C6932">
            <w:pPr>
              <w:pStyle w:val="wordsection1"/>
              <w:jc w:val="both"/>
              <w:rPr>
                <w:lang w:val="en-US"/>
              </w:rPr>
            </w:pPr>
            <w:r>
              <w:rPr>
                <w:lang w:val="en-US"/>
              </w:rPr>
              <w:t xml:space="preserve">[Clause </w:t>
            </w:r>
            <w:r w:rsidR="0036132D">
              <w:rPr>
                <w:lang w:val="en-US"/>
              </w:rPr>
              <w:t>33</w:t>
            </w:r>
            <w:r>
              <w:rPr>
                <w:lang w:val="en-US"/>
              </w:rPr>
              <w:t>]</w:t>
            </w:r>
          </w:p>
        </w:tc>
      </w:tr>
      <w:tr w:rsidR="006C6932" w:rsidRPr="000974A2" w14:paraId="378C0707" w14:textId="77777777" w:rsidTr="3653BBEC">
        <w:trPr>
          <w:jc w:val="center"/>
        </w:trPr>
        <w:tc>
          <w:tcPr>
            <w:tcW w:w="846" w:type="dxa"/>
          </w:tcPr>
          <w:p w14:paraId="00F32A22" w14:textId="77777777" w:rsidR="006C6932" w:rsidRPr="000974A2" w:rsidRDefault="006C6932">
            <w:pPr>
              <w:widowControl w:val="0"/>
              <w:numPr>
                <w:ilvl w:val="0"/>
                <w:numId w:val="2"/>
              </w:numPr>
              <w:jc w:val="both"/>
              <w:rPr>
                <w:rFonts w:eastAsia="PMingLiU"/>
                <w:b/>
              </w:rPr>
            </w:pPr>
          </w:p>
        </w:tc>
        <w:tc>
          <w:tcPr>
            <w:tcW w:w="3260" w:type="dxa"/>
          </w:tcPr>
          <w:p w14:paraId="0BA41194" w14:textId="56633A81" w:rsidR="006C6932" w:rsidRPr="000974A2" w:rsidRDefault="006C6932" w:rsidP="006C6932">
            <w:pPr>
              <w:pStyle w:val="Default"/>
              <w:jc w:val="both"/>
            </w:pPr>
            <w:r w:rsidRPr="001F65EF">
              <w:t>Allow resident individual taxpayers to claim Grandparent Caregiver Relief (“GCR”) in respect of caregivers who have trade, business, profession, vocation or/and employment income not exceeding $4,000 in the year preceding the YA of claim</w:t>
            </w:r>
          </w:p>
        </w:tc>
        <w:tc>
          <w:tcPr>
            <w:tcW w:w="6869" w:type="dxa"/>
          </w:tcPr>
          <w:p w14:paraId="37C85D2D" w14:textId="77777777" w:rsidR="006C6932" w:rsidRPr="001F65EF" w:rsidRDefault="006C6932" w:rsidP="00725300">
            <w:pPr>
              <w:pStyle w:val="Default"/>
              <w:jc w:val="both"/>
            </w:pPr>
            <w:r w:rsidRPr="001F65EF">
              <w:t>Working mothers who engage the help of their parents, grandparents, parents-in-</w:t>
            </w:r>
            <w:proofErr w:type="gramStart"/>
            <w:r w:rsidRPr="001F65EF">
              <w:t>law</w:t>
            </w:r>
            <w:proofErr w:type="gramEnd"/>
            <w:r w:rsidRPr="001F65EF">
              <w:t xml:space="preserve"> or grandparents-in-law (including parents or grandparents of an ex-spouse) to take care of their young children may claim the GCR, subject to conditions. </w:t>
            </w:r>
          </w:p>
          <w:p w14:paraId="1CAB59EC" w14:textId="77777777" w:rsidR="006C6932" w:rsidRPr="001F65EF" w:rsidRDefault="006C6932" w:rsidP="006C6932">
            <w:pPr>
              <w:pStyle w:val="ContentinTable"/>
              <w:spacing w:beforeLines="40" w:before="96" w:afterLines="40" w:after="96" w:line="240" w:lineRule="auto"/>
              <w:rPr>
                <w:sz w:val="24"/>
                <w:lang w:val="en-GB"/>
              </w:rPr>
            </w:pPr>
          </w:p>
          <w:p w14:paraId="74A56CA7"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One of the conditions is that the caregiver was not carrying on any trade, business, profession, vocation or/and employment in the year preceding the YA of claim.</w:t>
            </w:r>
          </w:p>
          <w:p w14:paraId="09462C2C" w14:textId="77777777" w:rsidR="006C6932" w:rsidRPr="001F65EF" w:rsidRDefault="006C6932" w:rsidP="006C6932">
            <w:pPr>
              <w:pStyle w:val="ContentinTable"/>
              <w:spacing w:beforeLines="40" w:before="96" w:afterLines="40" w:after="96" w:line="240" w:lineRule="auto"/>
              <w:rPr>
                <w:sz w:val="24"/>
                <w:lang w:val="en-GB"/>
              </w:rPr>
            </w:pPr>
          </w:p>
          <w:p w14:paraId="64193DDE" w14:textId="77777777" w:rsidR="006C6932" w:rsidRPr="001F65EF" w:rsidRDefault="006C6932" w:rsidP="006C6932">
            <w:pPr>
              <w:pStyle w:val="ContentinTable"/>
              <w:spacing w:beforeLines="40" w:before="96" w:afterLines="40" w:after="96" w:line="240" w:lineRule="auto"/>
              <w:rPr>
                <w:sz w:val="24"/>
                <w:lang w:val="en-GB"/>
              </w:rPr>
            </w:pPr>
            <w:r w:rsidRPr="001F65EF">
              <w:rPr>
                <w:sz w:val="24"/>
                <w:lang w:val="en-GB"/>
              </w:rPr>
              <w:t xml:space="preserve">To give caregivers the flexibility to do some incidental work, working mothers will be able to claim GCR in respect of caregivers who have trade, business, profession, vocation or/and employment income, </w:t>
            </w:r>
            <w:proofErr w:type="gramStart"/>
            <w:r w:rsidRPr="001F65EF">
              <w:rPr>
                <w:sz w:val="24"/>
                <w:lang w:val="en-GB"/>
              </w:rPr>
              <w:t>as long as</w:t>
            </w:r>
            <w:proofErr w:type="gramEnd"/>
            <w:r w:rsidRPr="001F65EF">
              <w:rPr>
                <w:sz w:val="24"/>
                <w:lang w:val="en-GB"/>
              </w:rPr>
              <w:t xml:space="preserve"> the caregivers’ total income from these activities does not exceed $4,000 in the year preceding the YA of claim, if they have met all other conditions.</w:t>
            </w:r>
          </w:p>
          <w:p w14:paraId="37675C18" w14:textId="77777777" w:rsidR="006C6932" w:rsidRPr="001F65EF" w:rsidRDefault="006C6932" w:rsidP="006C6932">
            <w:pPr>
              <w:pStyle w:val="ContentinTable"/>
              <w:spacing w:beforeLines="40" w:before="96" w:afterLines="40" w:after="96" w:line="240" w:lineRule="auto"/>
              <w:rPr>
                <w:sz w:val="24"/>
                <w:lang w:val="en-GB"/>
              </w:rPr>
            </w:pPr>
          </w:p>
          <w:p w14:paraId="1344D485" w14:textId="5D14EF1C" w:rsidR="006C6932" w:rsidRPr="001F65EF" w:rsidRDefault="6DDCD148" w:rsidP="560677D7">
            <w:pPr>
              <w:pStyle w:val="ContentinTable"/>
              <w:spacing w:beforeLines="40" w:before="96" w:afterLines="40" w:after="96" w:line="240" w:lineRule="auto"/>
              <w:rPr>
                <w:sz w:val="24"/>
                <w:lang w:val="en-GB"/>
              </w:rPr>
            </w:pPr>
            <w:r w:rsidRPr="560677D7">
              <w:rPr>
                <w:sz w:val="24"/>
                <w:lang w:val="en-GB"/>
              </w:rPr>
              <w:t xml:space="preserve">The </w:t>
            </w:r>
            <w:r w:rsidR="744367AC" w:rsidRPr="560677D7">
              <w:rPr>
                <w:sz w:val="24"/>
                <w:lang w:val="en-GB"/>
              </w:rPr>
              <w:t>proposed</w:t>
            </w:r>
            <w:r w:rsidR="006C6932" w:rsidRPr="560677D7">
              <w:rPr>
                <w:sz w:val="24"/>
                <w:lang w:val="en-GB"/>
              </w:rPr>
              <w:t xml:space="preserve"> change will take effect from the YA 2024.</w:t>
            </w:r>
          </w:p>
          <w:p w14:paraId="30430939" w14:textId="77777777" w:rsidR="006C6932" w:rsidRPr="000974A2" w:rsidRDefault="006C6932" w:rsidP="006C6932">
            <w:pPr>
              <w:pStyle w:val="wordsection1"/>
              <w:jc w:val="both"/>
              <w:rPr>
                <w:lang w:val="en-US"/>
              </w:rPr>
            </w:pPr>
          </w:p>
        </w:tc>
        <w:tc>
          <w:tcPr>
            <w:tcW w:w="2082" w:type="dxa"/>
          </w:tcPr>
          <w:p w14:paraId="31D0FB85" w14:textId="77777777" w:rsidR="006C6932" w:rsidRDefault="0E7B4581" w:rsidP="006C6932">
            <w:pPr>
              <w:pStyle w:val="wordsection1"/>
              <w:jc w:val="both"/>
              <w:rPr>
                <w:lang w:val="en-US"/>
              </w:rPr>
            </w:pPr>
            <w:r w:rsidRPr="3D972487">
              <w:rPr>
                <w:lang w:val="en-US"/>
              </w:rPr>
              <w:t>Sections 39(2)(p)</w:t>
            </w:r>
          </w:p>
          <w:p w14:paraId="2A0DC532" w14:textId="77777777" w:rsidR="006A531D" w:rsidRDefault="006A531D" w:rsidP="006C6932">
            <w:pPr>
              <w:pStyle w:val="wordsection1"/>
              <w:jc w:val="both"/>
              <w:rPr>
                <w:lang w:val="en-US"/>
              </w:rPr>
            </w:pPr>
          </w:p>
          <w:p w14:paraId="16C5A65D" w14:textId="1678B144" w:rsidR="006A531D" w:rsidRDefault="006A531D" w:rsidP="006C6932">
            <w:pPr>
              <w:pStyle w:val="wordsection1"/>
              <w:jc w:val="both"/>
              <w:rPr>
                <w:lang w:val="en-US"/>
              </w:rPr>
            </w:pPr>
            <w:r>
              <w:rPr>
                <w:lang w:val="en-US"/>
              </w:rPr>
              <w:t xml:space="preserve">[Clause </w:t>
            </w:r>
            <w:r w:rsidR="5D76EC3F" w:rsidRPr="207EF7BF">
              <w:rPr>
                <w:lang w:val="en-US"/>
              </w:rPr>
              <w:t>3</w:t>
            </w:r>
            <w:r w:rsidR="1C6A7BD5" w:rsidRPr="207EF7BF">
              <w:rPr>
                <w:lang w:val="en-US"/>
              </w:rPr>
              <w:t>3</w:t>
            </w:r>
            <w:r>
              <w:rPr>
                <w:lang w:val="en-US"/>
              </w:rPr>
              <w:t>]</w:t>
            </w:r>
          </w:p>
        </w:tc>
      </w:tr>
      <w:tr w:rsidR="00D70B03" w:rsidRPr="000974A2" w14:paraId="77529874" w14:textId="77777777" w:rsidTr="3653BBEC">
        <w:trPr>
          <w:jc w:val="center"/>
        </w:trPr>
        <w:tc>
          <w:tcPr>
            <w:tcW w:w="846" w:type="dxa"/>
          </w:tcPr>
          <w:p w14:paraId="11F67372" w14:textId="77777777" w:rsidR="00D70B03" w:rsidRPr="000974A2" w:rsidRDefault="00D70B03" w:rsidP="00D70B03">
            <w:pPr>
              <w:widowControl w:val="0"/>
              <w:numPr>
                <w:ilvl w:val="0"/>
                <w:numId w:val="2"/>
              </w:numPr>
              <w:jc w:val="both"/>
              <w:rPr>
                <w:rFonts w:eastAsia="PMingLiU"/>
                <w:b/>
              </w:rPr>
            </w:pPr>
          </w:p>
        </w:tc>
        <w:tc>
          <w:tcPr>
            <w:tcW w:w="3260" w:type="dxa"/>
          </w:tcPr>
          <w:p w14:paraId="36B79AC1" w14:textId="62DCD48D" w:rsidR="00D70B03" w:rsidRPr="000974A2" w:rsidRDefault="00D70B03" w:rsidP="00D70B03">
            <w:pPr>
              <w:pStyle w:val="Default"/>
              <w:jc w:val="both"/>
            </w:pPr>
            <w:r>
              <w:t>Extend the 250% tax deduction for qualifying donations to IPCs and eligible institutions</w:t>
            </w:r>
          </w:p>
        </w:tc>
        <w:tc>
          <w:tcPr>
            <w:tcW w:w="6869" w:type="dxa"/>
          </w:tcPr>
          <w:p w14:paraId="6E0C70CD" w14:textId="0FEFDFEE" w:rsidR="00D70B03" w:rsidRDefault="00D70B03" w:rsidP="00725300">
            <w:pPr>
              <w:pStyle w:val="Default"/>
              <w:jc w:val="both"/>
            </w:pPr>
            <w:r w:rsidRPr="001F65EF">
              <w:t>Donors are eligible for a 250% tax deduction for qualifying donations made to Institutions of a Public Character (“IPCs”) and other eligible institutions from 1 January 2016 to 31 December 2023.</w:t>
            </w:r>
          </w:p>
          <w:p w14:paraId="006E7A57" w14:textId="77777777" w:rsidR="00426C3A" w:rsidRPr="001F65EF" w:rsidRDefault="00426C3A" w:rsidP="00D70B03">
            <w:pPr>
              <w:pStyle w:val="ContentinTable"/>
              <w:spacing w:beforeLines="40" w:before="96" w:afterLines="40" w:after="96" w:line="240" w:lineRule="auto"/>
              <w:rPr>
                <w:sz w:val="24"/>
                <w:lang w:val="en-GB"/>
              </w:rPr>
            </w:pPr>
          </w:p>
          <w:p w14:paraId="6E505138" w14:textId="56FA0A30" w:rsidR="00D70B03" w:rsidRPr="001F65EF" w:rsidRDefault="00D70B03" w:rsidP="00D70B03">
            <w:pPr>
              <w:pStyle w:val="ContentinTable"/>
              <w:spacing w:beforeLines="40" w:before="96" w:afterLines="40" w:after="96" w:line="240" w:lineRule="auto"/>
              <w:rPr>
                <w:sz w:val="24"/>
                <w:lang w:val="en-GB"/>
              </w:rPr>
            </w:pPr>
            <w:r w:rsidRPr="001F65EF">
              <w:rPr>
                <w:sz w:val="24"/>
                <w:lang w:val="en-GB"/>
              </w:rPr>
              <w:t>To continue encouraging Singaporeans to give back to the community, we will extend the 250% tax deduction to qualifying donations made from 1 January 2024 to 31 December 2026. All other conditions of the scheme remain the same.</w:t>
            </w:r>
          </w:p>
          <w:p w14:paraId="3CB8BCC0" w14:textId="77777777" w:rsidR="00D70B03" w:rsidRPr="000974A2" w:rsidRDefault="00D70B03" w:rsidP="00D70B03">
            <w:pPr>
              <w:pStyle w:val="wordsection1"/>
              <w:jc w:val="both"/>
              <w:rPr>
                <w:lang w:val="en-US"/>
              </w:rPr>
            </w:pPr>
          </w:p>
        </w:tc>
        <w:tc>
          <w:tcPr>
            <w:tcW w:w="2082" w:type="dxa"/>
          </w:tcPr>
          <w:p w14:paraId="0117E942" w14:textId="77777777" w:rsidR="00D70B03" w:rsidRDefault="00D70B03" w:rsidP="00D70B03">
            <w:pPr>
              <w:pStyle w:val="wordsection1"/>
              <w:jc w:val="both"/>
              <w:rPr>
                <w:lang w:val="en-US"/>
              </w:rPr>
            </w:pPr>
            <w:r w:rsidRPr="00A23BC7">
              <w:rPr>
                <w:lang w:val="en-US"/>
              </w:rPr>
              <w:t>Section 37</w:t>
            </w:r>
            <w:r w:rsidRPr="00426C3A">
              <w:rPr>
                <w:lang w:val="en-US"/>
              </w:rPr>
              <w:t>(3</w:t>
            </w:r>
            <w:proofErr w:type="gramStart"/>
            <w:r w:rsidRPr="00426C3A">
              <w:rPr>
                <w:lang w:val="en-US"/>
              </w:rPr>
              <w:t>A)(</w:t>
            </w:r>
            <w:proofErr w:type="gramEnd"/>
            <w:r w:rsidRPr="00426C3A">
              <w:rPr>
                <w:lang w:val="en-US"/>
              </w:rPr>
              <w:t>a)(ii)</w:t>
            </w:r>
          </w:p>
          <w:p w14:paraId="6CD1DAF8" w14:textId="77777777" w:rsidR="00506128" w:rsidRDefault="00506128" w:rsidP="00D70B03">
            <w:pPr>
              <w:pStyle w:val="wordsection1"/>
              <w:jc w:val="both"/>
              <w:rPr>
                <w:lang w:val="en-US"/>
              </w:rPr>
            </w:pPr>
          </w:p>
          <w:p w14:paraId="162DD50A" w14:textId="2F3529D6" w:rsidR="00506128" w:rsidRDefault="00506128" w:rsidP="00D70B03">
            <w:pPr>
              <w:pStyle w:val="wordsection1"/>
              <w:jc w:val="both"/>
              <w:rPr>
                <w:lang w:val="en-US"/>
              </w:rPr>
            </w:pPr>
            <w:r>
              <w:rPr>
                <w:lang w:val="en-US"/>
              </w:rPr>
              <w:t xml:space="preserve">[Clause </w:t>
            </w:r>
            <w:r w:rsidR="0036132D">
              <w:rPr>
                <w:lang w:val="en-US"/>
              </w:rPr>
              <w:t>30</w:t>
            </w:r>
            <w:r w:rsidR="00BC1DA7">
              <w:rPr>
                <w:lang w:val="en-US"/>
              </w:rPr>
              <w:t>]</w:t>
            </w:r>
          </w:p>
        </w:tc>
      </w:tr>
      <w:tr w:rsidR="00D70B03" w:rsidRPr="000974A2" w14:paraId="476199EC" w14:textId="77777777" w:rsidTr="3653BBEC">
        <w:trPr>
          <w:jc w:val="center"/>
        </w:trPr>
        <w:tc>
          <w:tcPr>
            <w:tcW w:w="846" w:type="dxa"/>
          </w:tcPr>
          <w:p w14:paraId="27C6CB80" w14:textId="77777777" w:rsidR="00D70B03" w:rsidRPr="000974A2" w:rsidRDefault="00D70B03" w:rsidP="00D70B03">
            <w:pPr>
              <w:widowControl w:val="0"/>
              <w:numPr>
                <w:ilvl w:val="0"/>
                <w:numId w:val="2"/>
              </w:numPr>
              <w:jc w:val="both"/>
              <w:rPr>
                <w:rFonts w:eastAsia="PMingLiU"/>
                <w:b/>
              </w:rPr>
            </w:pPr>
          </w:p>
        </w:tc>
        <w:tc>
          <w:tcPr>
            <w:tcW w:w="3260" w:type="dxa"/>
          </w:tcPr>
          <w:p w14:paraId="1079C7F1" w14:textId="1A48CF27" w:rsidR="00D70B03" w:rsidRPr="000974A2" w:rsidRDefault="00D70B03" w:rsidP="00D70B03">
            <w:pPr>
              <w:pStyle w:val="Default"/>
              <w:jc w:val="both"/>
            </w:pPr>
            <w:r w:rsidRPr="001F65EF">
              <w:t>Extend and enhance the Corporate Volunteer Scheme (“CVS”)</w:t>
            </w:r>
          </w:p>
        </w:tc>
        <w:tc>
          <w:tcPr>
            <w:tcW w:w="6869" w:type="dxa"/>
          </w:tcPr>
          <w:p w14:paraId="763FBDBE" w14:textId="5165BEA9" w:rsidR="00D70B03" w:rsidRPr="001F65EF" w:rsidRDefault="00D70B03" w:rsidP="00725300">
            <w:pPr>
              <w:pStyle w:val="Default"/>
              <w:jc w:val="both"/>
            </w:pPr>
            <w:r w:rsidRPr="001F65EF">
              <w:t xml:space="preserve">A </w:t>
            </w:r>
            <w:r w:rsidRPr="00604B29">
              <w:t xml:space="preserve">qualifying </w:t>
            </w:r>
            <w:r w:rsidR="00B2312D" w:rsidRPr="00426C3A">
              <w:t>person</w:t>
            </w:r>
            <w:r w:rsidR="00B2312D" w:rsidRPr="00604B29">
              <w:t xml:space="preserve"> </w:t>
            </w:r>
            <w:r w:rsidRPr="00604B29">
              <w:t>can, subject to conditions, enjoy a total of 250% tax deduction on qualifying</w:t>
            </w:r>
            <w:r w:rsidRPr="001F65EF">
              <w:t xml:space="preserve"> expenditure such as wages incurred by the person from 1 July 2016 to 31 December 2023 in respect of –</w:t>
            </w:r>
          </w:p>
          <w:p w14:paraId="065F132B" w14:textId="77777777" w:rsidR="00D70B03" w:rsidRPr="001F65EF" w:rsidRDefault="00D70B03" w:rsidP="00D70B03">
            <w:pPr>
              <w:pStyle w:val="ContentinTable"/>
              <w:numPr>
                <w:ilvl w:val="0"/>
                <w:numId w:val="11"/>
              </w:numPr>
              <w:adjustRightInd/>
              <w:spacing w:beforeLines="40" w:before="96" w:afterLines="40" w:after="96" w:line="240" w:lineRule="auto"/>
              <w:rPr>
                <w:sz w:val="24"/>
                <w:lang w:val="en-GB"/>
              </w:rPr>
            </w:pPr>
            <w:r w:rsidRPr="001F65EF">
              <w:rPr>
                <w:sz w:val="24"/>
                <w:lang w:val="en-GB"/>
              </w:rPr>
              <w:t>The provision of services by the person’s qualifying employee to an IPC during that period; or</w:t>
            </w:r>
          </w:p>
          <w:p w14:paraId="086F16E4" w14:textId="1ED4AE3E" w:rsidR="00D70B03" w:rsidRDefault="00D70B03" w:rsidP="00D70B03">
            <w:pPr>
              <w:pStyle w:val="ContentinTable"/>
              <w:numPr>
                <w:ilvl w:val="0"/>
                <w:numId w:val="11"/>
              </w:numPr>
              <w:adjustRightInd/>
              <w:spacing w:beforeLines="40" w:before="96" w:afterLines="40" w:after="96" w:line="240" w:lineRule="auto"/>
              <w:rPr>
                <w:sz w:val="24"/>
                <w:lang w:val="en-GB"/>
              </w:rPr>
            </w:pPr>
            <w:r w:rsidRPr="001F65EF">
              <w:rPr>
                <w:sz w:val="24"/>
                <w:lang w:val="en-GB"/>
              </w:rPr>
              <w:t>The secondment of the person’s qualifying employee to an IPC during that period.</w:t>
            </w:r>
          </w:p>
          <w:p w14:paraId="602D4DC6" w14:textId="77777777" w:rsidR="00962075" w:rsidRPr="001F65EF" w:rsidRDefault="00962075" w:rsidP="00962075">
            <w:pPr>
              <w:pStyle w:val="ContentinTable"/>
              <w:adjustRightInd/>
              <w:spacing w:beforeLines="40" w:before="96" w:afterLines="40" w:after="96" w:line="240" w:lineRule="auto"/>
              <w:ind w:left="720"/>
              <w:rPr>
                <w:sz w:val="24"/>
                <w:lang w:val="en-GB"/>
              </w:rPr>
            </w:pPr>
          </w:p>
          <w:p w14:paraId="7C3611C1" w14:textId="77777777" w:rsidR="00D70B03" w:rsidRPr="001F65EF" w:rsidRDefault="00D70B03" w:rsidP="00D70B03">
            <w:pPr>
              <w:pStyle w:val="ContentinTable"/>
              <w:spacing w:beforeLines="40" w:before="96" w:afterLines="40" w:after="96" w:line="240" w:lineRule="auto"/>
              <w:rPr>
                <w:sz w:val="24"/>
                <w:lang w:val="en-GB"/>
              </w:rPr>
            </w:pPr>
            <w:r w:rsidRPr="001F65EF">
              <w:rPr>
                <w:sz w:val="24"/>
                <w:lang w:val="en-GB"/>
              </w:rPr>
              <w:t xml:space="preserve">There is </w:t>
            </w:r>
            <w:r>
              <w:rPr>
                <w:sz w:val="24"/>
                <w:lang w:val="en-GB"/>
              </w:rPr>
              <w:t xml:space="preserve">currently </w:t>
            </w:r>
            <w:r w:rsidRPr="001F65EF">
              <w:rPr>
                <w:sz w:val="24"/>
                <w:lang w:val="en-GB"/>
              </w:rPr>
              <w:t>a cap on qualifying expenditure of $250,000 per business per YA and $50,000 per IPC per calendar year.</w:t>
            </w:r>
          </w:p>
          <w:p w14:paraId="41541D49" w14:textId="77777777" w:rsidR="00D70B03" w:rsidRPr="001F65EF" w:rsidRDefault="00D70B03" w:rsidP="00D70B03">
            <w:pPr>
              <w:pStyle w:val="ContentinTable"/>
              <w:spacing w:beforeLines="40" w:before="96" w:afterLines="40" w:after="96" w:line="240" w:lineRule="auto"/>
              <w:rPr>
                <w:sz w:val="24"/>
                <w:lang w:val="en-GB"/>
              </w:rPr>
            </w:pPr>
          </w:p>
          <w:p w14:paraId="52F4633E" w14:textId="47503076" w:rsidR="00D70B03" w:rsidRPr="001F65EF" w:rsidRDefault="00D70B03" w:rsidP="00D70B03">
            <w:pPr>
              <w:pStyle w:val="ContentinTable"/>
              <w:spacing w:beforeLines="40" w:before="96" w:afterLines="40" w:after="96" w:line="240" w:lineRule="auto"/>
              <w:rPr>
                <w:sz w:val="24"/>
                <w:lang w:val="en-GB"/>
              </w:rPr>
            </w:pPr>
            <w:r w:rsidRPr="001F65EF" w:rsidDel="003A23A2">
              <w:rPr>
                <w:sz w:val="24"/>
                <w:lang w:val="en-GB"/>
              </w:rPr>
              <w:lastRenderedPageBreak/>
              <w:t xml:space="preserve">With effect from 1 Apr 2023, this scheme has been enhanced and renamed </w:t>
            </w:r>
            <w:r w:rsidR="008151C3">
              <w:rPr>
                <w:sz w:val="24"/>
                <w:lang w:val="en-GB"/>
              </w:rPr>
              <w:t xml:space="preserve">to </w:t>
            </w:r>
            <w:r w:rsidRPr="001F65EF" w:rsidDel="003A23A2">
              <w:rPr>
                <w:sz w:val="24"/>
                <w:lang w:val="en-GB"/>
              </w:rPr>
              <w:t>CVS</w:t>
            </w:r>
            <w:r w:rsidRPr="00635E2A">
              <w:rPr>
                <w:rStyle w:val="FootnoteReference"/>
                <w:sz w:val="24"/>
                <w:lang w:val="en-GB"/>
              </w:rPr>
              <w:footnoteReference w:id="6"/>
            </w:r>
            <w:r>
              <w:rPr>
                <w:sz w:val="24"/>
                <w:lang w:val="en-GB"/>
              </w:rPr>
              <w:t>.</w:t>
            </w:r>
            <w:r w:rsidRPr="001F65EF" w:rsidDel="003A23A2">
              <w:rPr>
                <w:sz w:val="24"/>
                <w:lang w:val="en-GB"/>
              </w:rPr>
              <w:t xml:space="preserve"> </w:t>
            </w:r>
            <w:r w:rsidRPr="001F65EF">
              <w:rPr>
                <w:sz w:val="24"/>
                <w:lang w:val="en-GB"/>
              </w:rPr>
              <w:t>We will extend 250% tax deduction on qualifying expenditure incurred under the CVS until 31 December 2026 to continue supporting corporate volunteering. The scope of qualifying volunteering activities will also be expanded to include activities which are conducted virtually (</w:t>
            </w:r>
            <w:proofErr w:type="gramStart"/>
            <w:r w:rsidRPr="001F65EF">
              <w:rPr>
                <w:sz w:val="24"/>
                <w:lang w:val="en-GB"/>
              </w:rPr>
              <w:t>e.g.</w:t>
            </w:r>
            <w:proofErr w:type="gramEnd"/>
            <w:r w:rsidRPr="001F65EF">
              <w:rPr>
                <w:sz w:val="24"/>
                <w:lang w:val="en-GB"/>
              </w:rPr>
              <w:t xml:space="preserve"> online mentoring and tuition support for youths/children) or outside of the IPCs’ premises (e.g. home visits to beneficiaries). In addition, the cap on qualifying expenditure per IPC per calendar year will be doubled to $100,000.</w:t>
            </w:r>
          </w:p>
          <w:p w14:paraId="049026AE" w14:textId="77777777" w:rsidR="00D70B03" w:rsidRPr="001F65EF" w:rsidRDefault="00D70B03" w:rsidP="00D70B03">
            <w:pPr>
              <w:pStyle w:val="ContentinTable"/>
              <w:spacing w:beforeLines="40" w:before="96" w:afterLines="40" w:after="96" w:line="240" w:lineRule="auto"/>
              <w:rPr>
                <w:sz w:val="24"/>
                <w:lang w:val="en-GB"/>
              </w:rPr>
            </w:pPr>
          </w:p>
          <w:p w14:paraId="29289CEE" w14:textId="6B90E1CD" w:rsidR="00D70B03" w:rsidRPr="001F65EF" w:rsidRDefault="00D70B03" w:rsidP="00D70B03">
            <w:pPr>
              <w:pStyle w:val="ContentinTable"/>
              <w:spacing w:beforeLines="40" w:before="96" w:afterLines="40" w:after="96" w:line="240" w:lineRule="auto"/>
              <w:rPr>
                <w:sz w:val="24"/>
                <w:lang w:val="en-GB"/>
              </w:rPr>
            </w:pPr>
            <w:r w:rsidRPr="001F65EF">
              <w:rPr>
                <w:sz w:val="24"/>
                <w:lang w:val="en-GB"/>
              </w:rPr>
              <w:t>The above enhancements will take effect from 1 January 2024. All other conditions of the scheme remain the same.</w:t>
            </w:r>
          </w:p>
          <w:p w14:paraId="2AF8253F" w14:textId="77777777" w:rsidR="00D70B03" w:rsidRPr="000974A2" w:rsidRDefault="00D70B03" w:rsidP="00D70B03">
            <w:pPr>
              <w:pStyle w:val="wordsection1"/>
              <w:jc w:val="both"/>
              <w:rPr>
                <w:lang w:val="en-US"/>
              </w:rPr>
            </w:pPr>
          </w:p>
        </w:tc>
        <w:tc>
          <w:tcPr>
            <w:tcW w:w="2082" w:type="dxa"/>
          </w:tcPr>
          <w:p w14:paraId="258D185C" w14:textId="77777777" w:rsidR="00D70B03" w:rsidRDefault="00D70B03" w:rsidP="00D70B03">
            <w:pPr>
              <w:pStyle w:val="wordsection1"/>
              <w:jc w:val="both"/>
              <w:rPr>
                <w:lang w:val="en-US"/>
              </w:rPr>
            </w:pPr>
            <w:r w:rsidRPr="3D972487">
              <w:rPr>
                <w:lang w:val="en-US"/>
              </w:rPr>
              <w:lastRenderedPageBreak/>
              <w:t>Section 14Z</w:t>
            </w:r>
          </w:p>
          <w:p w14:paraId="4A865FCA" w14:textId="77777777" w:rsidR="003B2B6D" w:rsidRDefault="003B2B6D" w:rsidP="00D70B03">
            <w:pPr>
              <w:pStyle w:val="wordsection1"/>
              <w:jc w:val="both"/>
              <w:rPr>
                <w:lang w:val="en-US"/>
              </w:rPr>
            </w:pPr>
          </w:p>
          <w:p w14:paraId="0CB99A50" w14:textId="2592D00F" w:rsidR="003B2B6D" w:rsidRDefault="003B2B6D" w:rsidP="00D70B03">
            <w:pPr>
              <w:pStyle w:val="wordsection1"/>
              <w:jc w:val="both"/>
              <w:rPr>
                <w:lang w:val="en-US"/>
              </w:rPr>
            </w:pPr>
            <w:r>
              <w:rPr>
                <w:lang w:val="en-US"/>
              </w:rPr>
              <w:t xml:space="preserve">[Clause </w:t>
            </w:r>
            <w:r w:rsidR="0036132D">
              <w:rPr>
                <w:lang w:val="en-US"/>
              </w:rPr>
              <w:t>20</w:t>
            </w:r>
            <w:r>
              <w:rPr>
                <w:lang w:val="en-US"/>
              </w:rPr>
              <w:t>]</w:t>
            </w:r>
          </w:p>
        </w:tc>
      </w:tr>
      <w:tr w:rsidR="006C6932" w:rsidRPr="000974A2" w14:paraId="23F8B886" w14:textId="77777777" w:rsidTr="3653BBEC">
        <w:trPr>
          <w:jc w:val="center"/>
        </w:trPr>
        <w:tc>
          <w:tcPr>
            <w:tcW w:w="846" w:type="dxa"/>
          </w:tcPr>
          <w:p w14:paraId="065AC8AE" w14:textId="77777777" w:rsidR="006C6932" w:rsidRPr="000974A2" w:rsidRDefault="006C6932">
            <w:pPr>
              <w:widowControl w:val="0"/>
              <w:numPr>
                <w:ilvl w:val="0"/>
                <w:numId w:val="2"/>
              </w:numPr>
              <w:jc w:val="both"/>
              <w:rPr>
                <w:rFonts w:eastAsia="PMingLiU"/>
                <w:b/>
              </w:rPr>
            </w:pPr>
          </w:p>
        </w:tc>
        <w:tc>
          <w:tcPr>
            <w:tcW w:w="3260" w:type="dxa"/>
          </w:tcPr>
          <w:p w14:paraId="63D17BCC" w14:textId="286BD617" w:rsidR="006C6932" w:rsidRPr="000974A2" w:rsidRDefault="006C6932" w:rsidP="006C6932">
            <w:pPr>
              <w:pStyle w:val="Default"/>
              <w:jc w:val="both"/>
            </w:pPr>
            <w:r w:rsidRPr="001F65EF">
              <w:t xml:space="preserve">Introduce the Philanthropy Tax Incentive Scheme for </w:t>
            </w:r>
            <w:r w:rsidR="00861DCB">
              <w:t>Family Offices (“</w:t>
            </w:r>
            <w:r>
              <w:t>FOs</w:t>
            </w:r>
            <w:r w:rsidR="00861DCB">
              <w:t>”)</w:t>
            </w:r>
          </w:p>
        </w:tc>
        <w:tc>
          <w:tcPr>
            <w:tcW w:w="6869" w:type="dxa"/>
          </w:tcPr>
          <w:p w14:paraId="0FFC1958" w14:textId="77777777" w:rsidR="006C6932" w:rsidRPr="001F65EF" w:rsidRDefault="006C6932" w:rsidP="00725300">
            <w:pPr>
              <w:pStyle w:val="Default"/>
              <w:jc w:val="both"/>
            </w:pPr>
            <w:r w:rsidRPr="001F65EF">
              <w:t xml:space="preserve">To strengthen Singapore’s position as a regional philanthropy hub and encourage </w:t>
            </w:r>
            <w:r>
              <w:t>FOs</w:t>
            </w:r>
            <w:r w:rsidRPr="001F65EF">
              <w:t xml:space="preserve"> to anchor their giving operations in Singapore, a tax incentive scheme will be </w:t>
            </w:r>
            <w:r w:rsidRPr="00F232B6">
              <w:t>piloted for five years starting from YA 2025</w:t>
            </w:r>
            <w:r w:rsidRPr="001F65EF">
              <w:t xml:space="preserve"> for qualifying donors with FOs operating in Singapore. To qualify, donors must have a fund under MAS’ section 13O or 13U </w:t>
            </w:r>
            <w:r w:rsidRPr="00F232B6">
              <w:t>scheme</w:t>
            </w:r>
            <w:r w:rsidRPr="001F65EF">
              <w:t xml:space="preserve"> and meet eligibility conditions, such as incremental business spending of $200,000.</w:t>
            </w:r>
          </w:p>
          <w:p w14:paraId="55650CF9" w14:textId="77777777" w:rsidR="006C6932" w:rsidRPr="00F232B6" w:rsidRDefault="006C6932" w:rsidP="006C6932">
            <w:pPr>
              <w:pStyle w:val="ContentinTable"/>
              <w:spacing w:beforeLines="40" w:before="96" w:afterLines="40" w:after="96" w:line="240" w:lineRule="auto"/>
              <w:rPr>
                <w:sz w:val="24"/>
                <w:lang w:val="en-GB"/>
              </w:rPr>
            </w:pPr>
          </w:p>
          <w:p w14:paraId="20AF9BA7" w14:textId="45A2A144" w:rsidR="006C6932" w:rsidRDefault="006C6932" w:rsidP="006C6932">
            <w:pPr>
              <w:pStyle w:val="ContentinTable"/>
              <w:spacing w:beforeLines="40" w:before="96" w:afterLines="40" w:after="96" w:line="240" w:lineRule="auto"/>
              <w:rPr>
                <w:sz w:val="24"/>
                <w:lang w:val="en-GB"/>
              </w:rPr>
            </w:pPr>
            <w:r w:rsidRPr="001F65EF">
              <w:rPr>
                <w:sz w:val="24"/>
                <w:lang w:val="en-GB"/>
              </w:rPr>
              <w:lastRenderedPageBreak/>
              <w:t>Under the scheme</w:t>
            </w:r>
            <w:r w:rsidR="009D50E5">
              <w:rPr>
                <w:sz w:val="24"/>
                <w:lang w:val="en-GB"/>
              </w:rPr>
              <w:t xml:space="preserve">, </w:t>
            </w:r>
            <w:r w:rsidRPr="001F65EF">
              <w:rPr>
                <w:sz w:val="24"/>
                <w:lang w:val="en-GB"/>
              </w:rPr>
              <w:t xml:space="preserve">qualifying donors </w:t>
            </w:r>
            <w:r w:rsidR="009D50E5">
              <w:rPr>
                <w:sz w:val="24"/>
                <w:lang w:val="en-GB"/>
              </w:rPr>
              <w:t>will be able to</w:t>
            </w:r>
            <w:r w:rsidR="009D50E5" w:rsidRPr="001F65EF">
              <w:rPr>
                <w:sz w:val="24"/>
                <w:lang w:val="en-GB"/>
              </w:rPr>
              <w:t xml:space="preserve"> </w:t>
            </w:r>
            <w:r w:rsidRPr="001F65EF">
              <w:rPr>
                <w:sz w:val="24"/>
                <w:lang w:val="en-GB"/>
              </w:rPr>
              <w:t xml:space="preserve">claim 100% tax deduction for overseas donations made through qualifying local intermediaries. The tax deduction </w:t>
            </w:r>
            <w:r w:rsidR="009D50E5">
              <w:rPr>
                <w:sz w:val="24"/>
                <w:lang w:val="en-GB"/>
              </w:rPr>
              <w:t xml:space="preserve">will be </w:t>
            </w:r>
            <w:r w:rsidRPr="001F65EF">
              <w:rPr>
                <w:sz w:val="24"/>
                <w:lang w:val="en-GB"/>
              </w:rPr>
              <w:t>capped at 40% of the donor’s statutory income.</w:t>
            </w:r>
          </w:p>
          <w:p w14:paraId="768730F9" w14:textId="77777777" w:rsidR="006C6932" w:rsidRPr="000974A2" w:rsidRDefault="006C6932" w:rsidP="006C6932">
            <w:pPr>
              <w:pStyle w:val="wordsection1"/>
              <w:jc w:val="both"/>
              <w:rPr>
                <w:lang w:val="en-US"/>
              </w:rPr>
            </w:pPr>
          </w:p>
        </w:tc>
        <w:tc>
          <w:tcPr>
            <w:tcW w:w="2082" w:type="dxa"/>
          </w:tcPr>
          <w:p w14:paraId="358479A1" w14:textId="77777777" w:rsidR="006C6932" w:rsidRDefault="3BE7C696" w:rsidP="006C6932">
            <w:pPr>
              <w:pStyle w:val="wordsection1"/>
              <w:jc w:val="both"/>
              <w:rPr>
                <w:lang w:val="en-US"/>
              </w:rPr>
            </w:pPr>
            <w:r w:rsidRPr="3D972487">
              <w:rPr>
                <w:lang w:val="en-US"/>
              </w:rPr>
              <w:lastRenderedPageBreak/>
              <w:t>Section 37</w:t>
            </w:r>
            <w:r w:rsidR="0073663C">
              <w:rPr>
                <w:lang w:val="en-US"/>
              </w:rPr>
              <w:t>(7) and 37AA</w:t>
            </w:r>
          </w:p>
          <w:p w14:paraId="1FBDBD3F" w14:textId="77777777" w:rsidR="009D3292" w:rsidRDefault="009D3292" w:rsidP="006C6932">
            <w:pPr>
              <w:pStyle w:val="wordsection1"/>
              <w:jc w:val="both"/>
              <w:rPr>
                <w:lang w:val="en-US"/>
              </w:rPr>
            </w:pPr>
          </w:p>
          <w:p w14:paraId="3B6EC7EE" w14:textId="3E566DA1" w:rsidR="009D3292" w:rsidRDefault="009D3292" w:rsidP="006C6932">
            <w:pPr>
              <w:pStyle w:val="wordsection1"/>
              <w:jc w:val="both"/>
              <w:rPr>
                <w:lang w:val="en-US"/>
              </w:rPr>
            </w:pPr>
            <w:r>
              <w:rPr>
                <w:lang w:val="en-US"/>
              </w:rPr>
              <w:t>[Clause</w:t>
            </w:r>
            <w:r w:rsidR="002E1740">
              <w:rPr>
                <w:lang w:val="en-US"/>
              </w:rPr>
              <w:t>s</w:t>
            </w:r>
            <w:r>
              <w:rPr>
                <w:lang w:val="en-US"/>
              </w:rPr>
              <w:t xml:space="preserve"> </w:t>
            </w:r>
            <w:r w:rsidR="006D7F98">
              <w:rPr>
                <w:lang w:val="en-US"/>
              </w:rPr>
              <w:t>30</w:t>
            </w:r>
            <w:r>
              <w:rPr>
                <w:lang w:val="en-US"/>
              </w:rPr>
              <w:t xml:space="preserve"> and</w:t>
            </w:r>
            <w:r w:rsidR="003C562C">
              <w:rPr>
                <w:lang w:val="en-US"/>
              </w:rPr>
              <w:t xml:space="preserve"> </w:t>
            </w:r>
            <w:r w:rsidR="006D7F98">
              <w:rPr>
                <w:lang w:val="en-US"/>
              </w:rPr>
              <w:t>31</w:t>
            </w:r>
            <w:r w:rsidR="003C562C">
              <w:rPr>
                <w:lang w:val="en-US"/>
              </w:rPr>
              <w:t>]</w:t>
            </w:r>
          </w:p>
        </w:tc>
      </w:tr>
      <w:tr w:rsidR="006C6932" w:rsidRPr="000974A2" w14:paraId="5CD6F7CE" w14:textId="77777777" w:rsidTr="3653BBEC">
        <w:trPr>
          <w:jc w:val="center"/>
        </w:trPr>
        <w:tc>
          <w:tcPr>
            <w:tcW w:w="846" w:type="dxa"/>
          </w:tcPr>
          <w:p w14:paraId="17CBB5F6" w14:textId="77777777" w:rsidR="006C6932" w:rsidRPr="000974A2" w:rsidRDefault="006C6932">
            <w:pPr>
              <w:widowControl w:val="0"/>
              <w:numPr>
                <w:ilvl w:val="0"/>
                <w:numId w:val="2"/>
              </w:numPr>
              <w:jc w:val="both"/>
              <w:rPr>
                <w:rFonts w:eastAsia="PMingLiU"/>
                <w:b/>
              </w:rPr>
            </w:pPr>
          </w:p>
        </w:tc>
        <w:tc>
          <w:tcPr>
            <w:tcW w:w="3260" w:type="dxa"/>
          </w:tcPr>
          <w:p w14:paraId="7D106A91" w14:textId="0BF31E6D" w:rsidR="006C6932" w:rsidRPr="000974A2" w:rsidRDefault="006C6932" w:rsidP="006C6932">
            <w:pPr>
              <w:pStyle w:val="Default"/>
              <w:jc w:val="both"/>
            </w:pPr>
            <w:r w:rsidRPr="39FF46E8">
              <w:t xml:space="preserve">Amount of </w:t>
            </w:r>
            <w:r w:rsidRPr="4EBD1B59">
              <w:t xml:space="preserve">mandatory </w:t>
            </w:r>
            <w:r w:rsidRPr="39FF46E8">
              <w:t>CPF contributions exempted from tax arising from the increase in CPF monthly salary ceiling</w:t>
            </w:r>
          </w:p>
        </w:tc>
        <w:tc>
          <w:tcPr>
            <w:tcW w:w="6869" w:type="dxa"/>
          </w:tcPr>
          <w:p w14:paraId="08E2FD63" w14:textId="77777777" w:rsidR="006C6932" w:rsidRDefault="006C6932" w:rsidP="00725300">
            <w:pPr>
              <w:pStyle w:val="Default"/>
              <w:jc w:val="both"/>
            </w:pPr>
            <w:r>
              <w:t>Mandatory CPF contributions on monthly salary up to the CPF monthly salary ceiling (presently at $6,000) are exempted from tax.</w:t>
            </w:r>
          </w:p>
          <w:p w14:paraId="071F84E0" w14:textId="7C6CD27F" w:rsidR="006C6932" w:rsidRDefault="006C6932" w:rsidP="00426C3A">
            <w:pPr>
              <w:pStyle w:val="ContentinTable"/>
              <w:spacing w:beforeLines="40" w:before="96" w:afterLines="40" w:after="96" w:line="240" w:lineRule="auto"/>
              <w:rPr>
                <w:sz w:val="24"/>
              </w:rPr>
            </w:pPr>
          </w:p>
          <w:p w14:paraId="5F394AE8" w14:textId="25D96848" w:rsidR="006C6932" w:rsidRDefault="6E10911C" w:rsidP="3653BBEC">
            <w:pPr>
              <w:pStyle w:val="ContentinTable"/>
              <w:spacing w:beforeLines="40" w:before="96" w:afterLines="40" w:after="96" w:line="240" w:lineRule="auto"/>
              <w:rPr>
                <w:sz w:val="24"/>
              </w:rPr>
            </w:pPr>
            <w:r w:rsidRPr="3653BBEC">
              <w:rPr>
                <w:sz w:val="24"/>
              </w:rPr>
              <w:t>To keep pace with rising salaries, the CPF monthly salary ceiling will be raised from $6,000 to $8,000</w:t>
            </w:r>
            <w:r w:rsidR="4F4171C0" w:rsidRPr="3653BBEC">
              <w:rPr>
                <w:sz w:val="24"/>
              </w:rPr>
              <w:t xml:space="preserve">, </w:t>
            </w:r>
            <w:r w:rsidRPr="3653BBEC">
              <w:rPr>
                <w:sz w:val="24"/>
              </w:rPr>
              <w:t>in phases by 2026:</w:t>
            </w:r>
          </w:p>
          <w:p w14:paraId="33FB95B3" w14:textId="77777777" w:rsidR="006C6932" w:rsidRDefault="006C6932">
            <w:pPr>
              <w:pStyle w:val="ContentinTable"/>
              <w:numPr>
                <w:ilvl w:val="0"/>
                <w:numId w:val="12"/>
              </w:numPr>
              <w:adjustRightInd/>
              <w:spacing w:beforeLines="40" w:before="96" w:afterLines="40" w:after="96" w:line="240" w:lineRule="auto"/>
              <w:rPr>
                <w:sz w:val="24"/>
              </w:rPr>
            </w:pPr>
            <w:r>
              <w:rPr>
                <w:sz w:val="24"/>
              </w:rPr>
              <w:t>From 1 September 2023: $6,300 (+$300)</w:t>
            </w:r>
          </w:p>
          <w:p w14:paraId="55AAD1B0" w14:textId="77777777" w:rsidR="006C6932" w:rsidRDefault="006C6932">
            <w:pPr>
              <w:pStyle w:val="ContentinTable"/>
              <w:numPr>
                <w:ilvl w:val="0"/>
                <w:numId w:val="12"/>
              </w:numPr>
              <w:adjustRightInd/>
              <w:spacing w:beforeLines="40" w:before="96" w:afterLines="40" w:after="96" w:line="240" w:lineRule="auto"/>
              <w:rPr>
                <w:sz w:val="24"/>
              </w:rPr>
            </w:pPr>
            <w:r>
              <w:rPr>
                <w:sz w:val="24"/>
              </w:rPr>
              <w:t>From 1 January 2024: $6,800 (+$500)</w:t>
            </w:r>
          </w:p>
          <w:p w14:paraId="153B28BA" w14:textId="77777777" w:rsidR="006C6932" w:rsidRDefault="006C6932">
            <w:pPr>
              <w:pStyle w:val="ContentinTable"/>
              <w:numPr>
                <w:ilvl w:val="0"/>
                <w:numId w:val="12"/>
              </w:numPr>
              <w:adjustRightInd/>
              <w:spacing w:beforeLines="40" w:before="96" w:afterLines="40" w:after="96" w:line="240" w:lineRule="auto"/>
              <w:rPr>
                <w:sz w:val="24"/>
              </w:rPr>
            </w:pPr>
            <w:r>
              <w:rPr>
                <w:sz w:val="24"/>
              </w:rPr>
              <w:t>From 1 January 2025: $7,400 (+$600)</w:t>
            </w:r>
          </w:p>
          <w:p w14:paraId="19962E9B" w14:textId="77777777" w:rsidR="006C6932" w:rsidRDefault="006C6932">
            <w:pPr>
              <w:pStyle w:val="ContentinTable"/>
              <w:numPr>
                <w:ilvl w:val="0"/>
                <w:numId w:val="12"/>
              </w:numPr>
              <w:adjustRightInd/>
              <w:spacing w:beforeLines="40" w:before="96" w:afterLines="40" w:after="96" w:line="240" w:lineRule="auto"/>
              <w:rPr>
                <w:sz w:val="24"/>
              </w:rPr>
            </w:pPr>
            <w:r>
              <w:rPr>
                <w:sz w:val="24"/>
              </w:rPr>
              <w:t>From 1 January 2026: $8,000 (+$600)</w:t>
            </w:r>
          </w:p>
          <w:p w14:paraId="3186AB47" w14:textId="77777777" w:rsidR="006C6932" w:rsidRDefault="006C6932" w:rsidP="006C6932">
            <w:pPr>
              <w:pStyle w:val="ContentinTable"/>
              <w:spacing w:beforeLines="40" w:before="96" w:afterLines="40" w:after="96" w:line="240" w:lineRule="auto"/>
              <w:rPr>
                <w:sz w:val="24"/>
              </w:rPr>
            </w:pPr>
          </w:p>
          <w:p w14:paraId="5FBEBF2C" w14:textId="77777777" w:rsidR="006C6932" w:rsidRDefault="006C6932" w:rsidP="002E43AA">
            <w:pPr>
              <w:pStyle w:val="ContentinTable"/>
              <w:spacing w:beforeLines="40" w:before="96" w:afterLines="40" w:after="96" w:line="240" w:lineRule="auto"/>
              <w:rPr>
                <w:sz w:val="24"/>
              </w:rPr>
            </w:pPr>
            <w:r>
              <w:rPr>
                <w:sz w:val="24"/>
              </w:rPr>
              <w:t>Accordingly, mandatory CPF contributions on monthly salary up to the revised CPF monthly salary ceilings will be exempted from tax.</w:t>
            </w:r>
          </w:p>
          <w:p w14:paraId="79D53276" w14:textId="0BAF50E3" w:rsidR="0013249B" w:rsidRPr="00635E2A" w:rsidRDefault="0013249B" w:rsidP="002E43AA">
            <w:pPr>
              <w:pStyle w:val="ContentinTable"/>
              <w:spacing w:beforeLines="40" w:before="96" w:afterLines="40" w:after="96" w:line="240" w:lineRule="auto"/>
            </w:pPr>
          </w:p>
        </w:tc>
        <w:tc>
          <w:tcPr>
            <w:tcW w:w="2082" w:type="dxa"/>
          </w:tcPr>
          <w:p w14:paraId="3320B139" w14:textId="77777777" w:rsidR="006C6932" w:rsidRDefault="489B9CC6" w:rsidP="006C6932">
            <w:pPr>
              <w:pStyle w:val="wordsection1"/>
              <w:jc w:val="both"/>
              <w:rPr>
                <w:lang w:val="en-US"/>
              </w:rPr>
            </w:pPr>
            <w:r w:rsidRPr="560677D7">
              <w:rPr>
                <w:lang w:val="en-US"/>
              </w:rPr>
              <w:t>Section 10B</w:t>
            </w:r>
          </w:p>
          <w:p w14:paraId="2C77AA79" w14:textId="77777777" w:rsidR="00930179" w:rsidRDefault="00930179" w:rsidP="006C6932">
            <w:pPr>
              <w:pStyle w:val="wordsection1"/>
              <w:jc w:val="both"/>
              <w:rPr>
                <w:lang w:val="en-US"/>
              </w:rPr>
            </w:pPr>
          </w:p>
          <w:p w14:paraId="02FDC764" w14:textId="3003F6AF" w:rsidR="00930179" w:rsidRDefault="00930179" w:rsidP="006C6932">
            <w:pPr>
              <w:pStyle w:val="wordsection1"/>
              <w:jc w:val="both"/>
              <w:rPr>
                <w:lang w:val="en-US"/>
              </w:rPr>
            </w:pPr>
            <w:r>
              <w:rPr>
                <w:lang w:val="en-US"/>
              </w:rPr>
              <w:t>[Clause 3]</w:t>
            </w:r>
          </w:p>
        </w:tc>
      </w:tr>
    </w:tbl>
    <w:p w14:paraId="21A221E2" w14:textId="77777777" w:rsidR="00A765F2" w:rsidRPr="007E4292" w:rsidRDefault="00A765F2" w:rsidP="00DB1164">
      <w:pPr>
        <w:rPr>
          <w:bCs/>
          <w:sz w:val="4"/>
          <w:szCs w:val="4"/>
        </w:rPr>
      </w:pPr>
    </w:p>
    <w:sectPr w:rsidR="00A765F2" w:rsidRPr="007E4292" w:rsidSect="00860C1A">
      <w:footerReference w:type="even" r:id="rId12"/>
      <w:footerReference w:type="defaul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FAF7" w14:textId="77777777" w:rsidR="00851EF2" w:rsidRDefault="00851EF2">
      <w:r>
        <w:separator/>
      </w:r>
    </w:p>
  </w:endnote>
  <w:endnote w:type="continuationSeparator" w:id="0">
    <w:p w14:paraId="2286AA2F" w14:textId="77777777" w:rsidR="00851EF2" w:rsidRDefault="00851EF2">
      <w:r>
        <w:continuationSeparator/>
      </w:r>
    </w:p>
  </w:endnote>
  <w:endnote w:type="continuationNotice" w:id="1">
    <w:p w14:paraId="3E5D6046" w14:textId="77777777" w:rsidR="00851EF2" w:rsidRDefault="00851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68F4" w14:textId="61820D25" w:rsidR="00534AD6" w:rsidRDefault="00534AD6"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1F53">
      <w:rPr>
        <w:rStyle w:val="PageNumber"/>
        <w:noProof/>
      </w:rPr>
      <w:t>1</w:t>
    </w:r>
    <w:r>
      <w:rPr>
        <w:rStyle w:val="PageNumber"/>
      </w:rPr>
      <w:fldChar w:fldCharType="end"/>
    </w:r>
  </w:p>
  <w:p w14:paraId="43DC0D77" w14:textId="77777777" w:rsidR="00534AD6" w:rsidRDefault="00534AD6" w:rsidP="00BA7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8056"/>
      <w:docPartObj>
        <w:docPartGallery w:val="Page Numbers (Bottom of Page)"/>
        <w:docPartUnique/>
      </w:docPartObj>
    </w:sdtPr>
    <w:sdtEndPr/>
    <w:sdtContent>
      <w:p w14:paraId="33088BE9" w14:textId="6050AC01" w:rsidR="00534AD6" w:rsidRDefault="00534AD6" w:rsidP="00EC1F53">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1286" w14:textId="77777777" w:rsidR="00851EF2" w:rsidRDefault="00851EF2">
      <w:r>
        <w:separator/>
      </w:r>
    </w:p>
  </w:footnote>
  <w:footnote w:type="continuationSeparator" w:id="0">
    <w:p w14:paraId="029BB758" w14:textId="77777777" w:rsidR="00851EF2" w:rsidRDefault="00851EF2">
      <w:r>
        <w:continuationSeparator/>
      </w:r>
    </w:p>
  </w:footnote>
  <w:footnote w:type="continuationNotice" w:id="1">
    <w:p w14:paraId="592D0F36" w14:textId="77777777" w:rsidR="00851EF2" w:rsidRDefault="00851EF2"/>
  </w:footnote>
  <w:footnote w:id="2">
    <w:p w14:paraId="74B0DBB7" w14:textId="77777777" w:rsidR="006C6932" w:rsidRPr="008A5B88" w:rsidRDefault="006C6932" w:rsidP="003F5FB6">
      <w:pPr>
        <w:pStyle w:val="FootnoteText"/>
        <w:rPr>
          <w:lang w:val="en-US"/>
        </w:rPr>
      </w:pPr>
      <w:r w:rsidRPr="008A5B88">
        <w:rPr>
          <w:rStyle w:val="FootnoteReference"/>
        </w:rPr>
        <w:footnoteRef/>
      </w:r>
      <w:r w:rsidRPr="008A5B88">
        <w:t xml:space="preserve"> </w:t>
      </w:r>
      <w:r w:rsidRPr="008A5B88">
        <w:rPr>
          <w:lang w:val="en-US"/>
        </w:rPr>
        <w:t>For the purposes of the cash payout, “employees” may include individuals who are deployed to the business under a centralised hiring arrangement or secondment arrangement.</w:t>
      </w:r>
    </w:p>
  </w:footnote>
  <w:footnote w:id="3">
    <w:p w14:paraId="4B04187F" w14:textId="77777777" w:rsidR="006C6932" w:rsidRPr="00797175" w:rsidRDefault="006C6932" w:rsidP="003F5FB6">
      <w:pPr>
        <w:pStyle w:val="FootnoteText"/>
        <w:rPr>
          <w:lang w:val="en-US"/>
        </w:rPr>
      </w:pPr>
      <w:r w:rsidRPr="00797175">
        <w:rPr>
          <w:rStyle w:val="FootnoteReference"/>
        </w:rPr>
        <w:footnoteRef/>
      </w:r>
      <w:r w:rsidRPr="00797175">
        <w:t xml:space="preserve"> No prior approval is required from </w:t>
      </w:r>
      <w:r w:rsidRPr="00797175">
        <w:t>EnterpriseSG or STB for tax deduction on the first $150,000 of qualifying expenses incurred on selected eligible activities for each YA.</w:t>
      </w:r>
    </w:p>
  </w:footnote>
  <w:footnote w:id="4">
    <w:p w14:paraId="14BD2BDD" w14:textId="77777777" w:rsidR="006C6932" w:rsidRPr="00CC0C98" w:rsidRDefault="006C6932" w:rsidP="003F5FB6">
      <w:pPr>
        <w:pStyle w:val="FootnoteText"/>
      </w:pPr>
      <w:r w:rsidRPr="00CC0C98">
        <w:rPr>
          <w:rStyle w:val="FootnoteReference"/>
        </w:rPr>
        <w:footnoteRef/>
      </w:r>
      <w:r w:rsidRPr="00CC0C98">
        <w:t xml:space="preserve"> </w:t>
      </w:r>
      <w:r>
        <w:t>Debt securities i</w:t>
      </w:r>
      <w:r w:rsidRPr="00CC0C98">
        <w:t xml:space="preserve">ssued by Special Purpose Reinsurance Vehicles licensed under the Insurance Act 1966. </w:t>
      </w:r>
    </w:p>
  </w:footnote>
  <w:footnote w:id="5">
    <w:p w14:paraId="5E5F0B76" w14:textId="77777777" w:rsidR="006C6932" w:rsidRPr="00CC0C98" w:rsidRDefault="006C6932" w:rsidP="003F5FB6">
      <w:pPr>
        <w:pStyle w:val="FootnoteText"/>
      </w:pPr>
      <w:r w:rsidRPr="00CC0C98">
        <w:rPr>
          <w:rStyle w:val="FootnoteReference"/>
        </w:rPr>
        <w:footnoteRef/>
      </w:r>
      <w:r w:rsidRPr="00CC0C98">
        <w:t xml:space="preserve"> Primary dealers are financial institutions appointed by MAS as a primary dealer under section 29A of the Government Securities (Debt Market and Investment) Act 1992.</w:t>
      </w:r>
    </w:p>
  </w:footnote>
  <w:footnote w:id="6">
    <w:p w14:paraId="16192763" w14:textId="77777777" w:rsidR="00D70B03" w:rsidRPr="003A3AF4" w:rsidRDefault="00D70B03" w:rsidP="003F5FB6">
      <w:pPr>
        <w:pStyle w:val="FootnoteText"/>
        <w:rPr>
          <w:lang w:val="en-US"/>
        </w:rPr>
      </w:pPr>
      <w:r w:rsidRPr="003A3AF4">
        <w:rPr>
          <w:rStyle w:val="FootnoteReference"/>
        </w:rPr>
        <w:footnoteRef/>
      </w:r>
      <w:r w:rsidRPr="003A3AF4">
        <w:t xml:space="preserve"> </w:t>
      </w:r>
      <w:r>
        <w:t>The</w:t>
      </w:r>
      <w:r w:rsidRPr="00570324">
        <w:t xml:space="preserve"> scheme </w:t>
      </w:r>
      <w:r>
        <w:t xml:space="preserve">was </w:t>
      </w:r>
      <w:r w:rsidRPr="00570324">
        <w:t>renamed from the Business and IPC Partnership Scheme (</w:t>
      </w:r>
      <w:r>
        <w:t>“</w:t>
      </w:r>
      <w:r w:rsidRPr="00570324">
        <w:t>BIPS</w:t>
      </w:r>
      <w:r>
        <w:t>”</w:t>
      </w:r>
      <w:r w:rsidRPr="00570324">
        <w:t>) to CVS.</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644D"/>
    <w:multiLevelType w:val="hybridMultilevel"/>
    <w:tmpl w:val="D6D8954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31B77D0"/>
    <w:multiLevelType w:val="hybridMultilevel"/>
    <w:tmpl w:val="AD1A6C9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CC9582A"/>
    <w:multiLevelType w:val="hybridMultilevel"/>
    <w:tmpl w:val="5846F8EC"/>
    <w:lvl w:ilvl="0" w:tplc="4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732E69"/>
    <w:multiLevelType w:val="hybridMultilevel"/>
    <w:tmpl w:val="4844C69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68431E9"/>
    <w:multiLevelType w:val="hybridMultilevel"/>
    <w:tmpl w:val="F1169AF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7865AB3"/>
    <w:multiLevelType w:val="hybridMultilevel"/>
    <w:tmpl w:val="7A6AD1FC"/>
    <w:lvl w:ilvl="0" w:tplc="48090019">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8D9118D"/>
    <w:multiLevelType w:val="hybridMultilevel"/>
    <w:tmpl w:val="A07AF2D0"/>
    <w:lvl w:ilvl="0" w:tplc="48090019">
      <w:start w:val="1"/>
      <w:numFmt w:val="lowerLetter"/>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66D41E8"/>
    <w:multiLevelType w:val="multilevel"/>
    <w:tmpl w:val="9A1230C8"/>
    <w:lvl w:ilvl="0">
      <w:start w:val="2"/>
      <w:numFmt w:val="decimal"/>
      <w:pStyle w:val="cTextList1"/>
      <w:lvlText w:val="%1."/>
      <w:lvlJc w:val="left"/>
      <w:pPr>
        <w:ind w:left="720" w:hanging="720"/>
      </w:pPr>
      <w:rPr>
        <w:rFonts w:ascii="Calibri" w:hAnsi="Calibri" w:cs="Calibri" w:hint="default"/>
        <w:b w:val="0"/>
        <w:strike w:val="0"/>
        <w:dstrike w:val="0"/>
        <w:sz w:val="22"/>
        <w:szCs w:val="24"/>
        <w:u w:val="none"/>
        <w:effect w:val="none"/>
      </w:rPr>
    </w:lvl>
    <w:lvl w:ilvl="1">
      <w:start w:val="1"/>
      <w:numFmt w:val="lowerLetter"/>
      <w:lvlText w:val="%2."/>
      <w:lvlJc w:val="left"/>
      <w:pPr>
        <w:ind w:left="1430" w:hanging="720"/>
      </w:pPr>
    </w:lvl>
    <w:lvl w:ilvl="2">
      <w:start w:val="1"/>
      <w:numFmt w:val="lowerRoman"/>
      <w:lvlText w:val="%3."/>
      <w:lvlJc w:val="left"/>
      <w:pPr>
        <w:ind w:left="2126" w:hanging="720"/>
      </w:pPr>
    </w:lvl>
    <w:lvl w:ilvl="3">
      <w:start w:val="1"/>
      <w:numFmt w:val="decimal"/>
      <w:lvlText w:val="%4."/>
      <w:lvlJc w:val="left"/>
      <w:pPr>
        <w:ind w:left="2829" w:hanging="720"/>
      </w:pPr>
    </w:lvl>
    <w:lvl w:ilvl="4">
      <w:start w:val="1"/>
      <w:numFmt w:val="lowerLetter"/>
      <w:lvlText w:val="%5."/>
      <w:lvlJc w:val="left"/>
      <w:pPr>
        <w:ind w:left="3532" w:hanging="720"/>
      </w:pPr>
    </w:lvl>
    <w:lvl w:ilvl="5">
      <w:start w:val="1"/>
      <w:numFmt w:val="lowerRoman"/>
      <w:lvlText w:val="%6."/>
      <w:lvlJc w:val="right"/>
      <w:pPr>
        <w:ind w:left="4235" w:hanging="720"/>
      </w:pPr>
    </w:lvl>
    <w:lvl w:ilvl="6">
      <w:start w:val="1"/>
      <w:numFmt w:val="decimal"/>
      <w:lvlText w:val="%7."/>
      <w:lvlJc w:val="left"/>
      <w:pPr>
        <w:ind w:left="4938" w:hanging="720"/>
      </w:pPr>
    </w:lvl>
    <w:lvl w:ilvl="7">
      <w:start w:val="1"/>
      <w:numFmt w:val="lowerLetter"/>
      <w:lvlText w:val="%8."/>
      <w:lvlJc w:val="left"/>
      <w:pPr>
        <w:ind w:left="5641" w:hanging="720"/>
      </w:pPr>
    </w:lvl>
    <w:lvl w:ilvl="8">
      <w:start w:val="1"/>
      <w:numFmt w:val="lowerRoman"/>
      <w:lvlText w:val="%9."/>
      <w:lvlJc w:val="right"/>
      <w:pPr>
        <w:ind w:left="6344" w:hanging="720"/>
      </w:pPr>
    </w:lvl>
  </w:abstractNum>
  <w:abstractNum w:abstractNumId="8" w15:restartNumberingAfterBreak="0">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7A9B5E7A"/>
    <w:multiLevelType w:val="hybridMultilevel"/>
    <w:tmpl w:val="5EAC6D7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B123C6D"/>
    <w:multiLevelType w:val="hybridMultilevel"/>
    <w:tmpl w:val="BBD446B4"/>
    <w:lvl w:ilvl="0" w:tplc="48090019">
      <w:start w:val="1"/>
      <w:numFmt w:val="lowerLetter"/>
      <w:lvlText w:val="%1."/>
      <w:lvlJc w:val="left"/>
      <w:pPr>
        <w:tabs>
          <w:tab w:val="num" w:pos="814"/>
        </w:tabs>
        <w:ind w:left="814" w:hanging="360"/>
      </w:pPr>
    </w:lvl>
    <w:lvl w:ilvl="1" w:tplc="A5B6D1C6" w:tentative="1">
      <w:start w:val="1"/>
      <w:numFmt w:val="lowerLetter"/>
      <w:lvlText w:val="%2)"/>
      <w:lvlJc w:val="left"/>
      <w:pPr>
        <w:tabs>
          <w:tab w:val="num" w:pos="1534"/>
        </w:tabs>
        <w:ind w:left="1534" w:hanging="360"/>
      </w:pPr>
    </w:lvl>
    <w:lvl w:ilvl="2" w:tplc="34A883D0" w:tentative="1">
      <w:start w:val="1"/>
      <w:numFmt w:val="lowerLetter"/>
      <w:lvlText w:val="%3)"/>
      <w:lvlJc w:val="left"/>
      <w:pPr>
        <w:tabs>
          <w:tab w:val="num" w:pos="2254"/>
        </w:tabs>
        <w:ind w:left="2254" w:hanging="360"/>
      </w:pPr>
    </w:lvl>
    <w:lvl w:ilvl="3" w:tplc="3BD840A2" w:tentative="1">
      <w:start w:val="1"/>
      <w:numFmt w:val="lowerLetter"/>
      <w:lvlText w:val="%4)"/>
      <w:lvlJc w:val="left"/>
      <w:pPr>
        <w:tabs>
          <w:tab w:val="num" w:pos="2974"/>
        </w:tabs>
        <w:ind w:left="2974" w:hanging="360"/>
      </w:pPr>
    </w:lvl>
    <w:lvl w:ilvl="4" w:tplc="E5A472FA" w:tentative="1">
      <w:start w:val="1"/>
      <w:numFmt w:val="lowerLetter"/>
      <w:lvlText w:val="%5)"/>
      <w:lvlJc w:val="left"/>
      <w:pPr>
        <w:tabs>
          <w:tab w:val="num" w:pos="3694"/>
        </w:tabs>
        <w:ind w:left="3694" w:hanging="360"/>
      </w:pPr>
    </w:lvl>
    <w:lvl w:ilvl="5" w:tplc="54268784" w:tentative="1">
      <w:start w:val="1"/>
      <w:numFmt w:val="lowerLetter"/>
      <w:lvlText w:val="%6)"/>
      <w:lvlJc w:val="left"/>
      <w:pPr>
        <w:tabs>
          <w:tab w:val="num" w:pos="4414"/>
        </w:tabs>
        <w:ind w:left="4414" w:hanging="360"/>
      </w:pPr>
    </w:lvl>
    <w:lvl w:ilvl="6" w:tplc="4B86B5E6" w:tentative="1">
      <w:start w:val="1"/>
      <w:numFmt w:val="lowerLetter"/>
      <w:lvlText w:val="%7)"/>
      <w:lvlJc w:val="left"/>
      <w:pPr>
        <w:tabs>
          <w:tab w:val="num" w:pos="5134"/>
        </w:tabs>
        <w:ind w:left="5134" w:hanging="360"/>
      </w:pPr>
    </w:lvl>
    <w:lvl w:ilvl="7" w:tplc="C3366902" w:tentative="1">
      <w:start w:val="1"/>
      <w:numFmt w:val="lowerLetter"/>
      <w:lvlText w:val="%8)"/>
      <w:lvlJc w:val="left"/>
      <w:pPr>
        <w:tabs>
          <w:tab w:val="num" w:pos="5854"/>
        </w:tabs>
        <w:ind w:left="5854" w:hanging="360"/>
      </w:pPr>
    </w:lvl>
    <w:lvl w:ilvl="8" w:tplc="D81AF1A8" w:tentative="1">
      <w:start w:val="1"/>
      <w:numFmt w:val="lowerLetter"/>
      <w:lvlText w:val="%9)"/>
      <w:lvlJc w:val="left"/>
      <w:pPr>
        <w:tabs>
          <w:tab w:val="num" w:pos="6574"/>
        </w:tabs>
        <w:ind w:left="6574" w:hanging="360"/>
      </w:pPr>
    </w:lvl>
  </w:abstractNum>
  <w:abstractNum w:abstractNumId="11" w15:restartNumberingAfterBreak="0">
    <w:nsid w:val="7E5F64BB"/>
    <w:multiLevelType w:val="hybridMultilevel"/>
    <w:tmpl w:val="554218B0"/>
    <w:lvl w:ilvl="0" w:tplc="4F6EA8A2">
      <w:start w:val="1"/>
      <w:numFmt w:val="decimal"/>
      <w:lvlText w:val="%1"/>
      <w:lvlJc w:val="right"/>
      <w:pPr>
        <w:ind w:left="720" w:hanging="360"/>
      </w:pPr>
      <w:rPr>
        <w:rFonts w:ascii="Times New Roman" w:hAnsi="Times New Roman" w:hint="default"/>
        <w:b w:val="0"/>
        <w:i w:val="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482433822">
    <w:abstractNumId w:val="8"/>
  </w:num>
  <w:num w:numId="2" w16cid:durableId="1898472015">
    <w:abstractNumId w:val="11"/>
  </w:num>
  <w:num w:numId="3" w16cid:durableId="111038994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466060">
    <w:abstractNumId w:val="10"/>
  </w:num>
  <w:num w:numId="5" w16cid:durableId="136993375">
    <w:abstractNumId w:val="9"/>
  </w:num>
  <w:num w:numId="6" w16cid:durableId="898636975">
    <w:abstractNumId w:val="1"/>
  </w:num>
  <w:num w:numId="7" w16cid:durableId="15616362">
    <w:abstractNumId w:val="2"/>
  </w:num>
  <w:num w:numId="8" w16cid:durableId="528881111">
    <w:abstractNumId w:val="0"/>
  </w:num>
  <w:num w:numId="9" w16cid:durableId="330792877">
    <w:abstractNumId w:val="5"/>
  </w:num>
  <w:num w:numId="10" w16cid:durableId="313148879">
    <w:abstractNumId w:val="3"/>
  </w:num>
  <w:num w:numId="11" w16cid:durableId="1506943052">
    <w:abstractNumId w:val="4"/>
  </w:num>
  <w:num w:numId="12" w16cid:durableId="5593118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hideSpellingErrors/>
  <w:hideGrammaticalErrors/>
  <w:activeWritingStyle w:appName="MSWord" w:lang="en-GB" w:vendorID="64" w:dllVersion="0" w:nlCheck="1" w:checkStyle="0"/>
  <w:activeWritingStyle w:appName="MSWord" w:lang="en-US" w:vendorID="64" w:dllVersion="0" w:nlCheck="1" w:checkStyle="0"/>
  <w:activeWritingStyle w:appName="MSWord" w:lang="en-SG" w:vendorID="64" w:dllVersion="0" w:nlCheck="1" w:checkStyle="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2"/>
    <w:rsid w:val="00000048"/>
    <w:rsid w:val="00001C9D"/>
    <w:rsid w:val="00002F54"/>
    <w:rsid w:val="000031AE"/>
    <w:rsid w:val="00003B0E"/>
    <w:rsid w:val="00003DC2"/>
    <w:rsid w:val="00004FB7"/>
    <w:rsid w:val="00005562"/>
    <w:rsid w:val="00005F76"/>
    <w:rsid w:val="00006AC7"/>
    <w:rsid w:val="00007BE7"/>
    <w:rsid w:val="0001301B"/>
    <w:rsid w:val="00015179"/>
    <w:rsid w:val="00016803"/>
    <w:rsid w:val="00016AF3"/>
    <w:rsid w:val="00020258"/>
    <w:rsid w:val="000227F2"/>
    <w:rsid w:val="000241DC"/>
    <w:rsid w:val="000258AB"/>
    <w:rsid w:val="000344DC"/>
    <w:rsid w:val="00034FBC"/>
    <w:rsid w:val="00036CDF"/>
    <w:rsid w:val="00041C33"/>
    <w:rsid w:val="000439B7"/>
    <w:rsid w:val="00046117"/>
    <w:rsid w:val="00046EA2"/>
    <w:rsid w:val="00046FD5"/>
    <w:rsid w:val="000470CF"/>
    <w:rsid w:val="000477D5"/>
    <w:rsid w:val="00050439"/>
    <w:rsid w:val="000511F4"/>
    <w:rsid w:val="000519C6"/>
    <w:rsid w:val="0005277F"/>
    <w:rsid w:val="00055069"/>
    <w:rsid w:val="00056DE9"/>
    <w:rsid w:val="00057396"/>
    <w:rsid w:val="00057D7C"/>
    <w:rsid w:val="00061429"/>
    <w:rsid w:val="0006157A"/>
    <w:rsid w:val="000619D7"/>
    <w:rsid w:val="00063115"/>
    <w:rsid w:val="000632BC"/>
    <w:rsid w:val="000652FC"/>
    <w:rsid w:val="0006673B"/>
    <w:rsid w:val="0006698B"/>
    <w:rsid w:val="000674A5"/>
    <w:rsid w:val="0007034D"/>
    <w:rsid w:val="00070FF3"/>
    <w:rsid w:val="000722CA"/>
    <w:rsid w:val="00073010"/>
    <w:rsid w:val="00076DA3"/>
    <w:rsid w:val="00077454"/>
    <w:rsid w:val="0008357E"/>
    <w:rsid w:val="00084FBD"/>
    <w:rsid w:val="00085341"/>
    <w:rsid w:val="00085E19"/>
    <w:rsid w:val="00086B65"/>
    <w:rsid w:val="0009063E"/>
    <w:rsid w:val="00090E7D"/>
    <w:rsid w:val="00090F6B"/>
    <w:rsid w:val="000934E4"/>
    <w:rsid w:val="00093EC2"/>
    <w:rsid w:val="00094244"/>
    <w:rsid w:val="00094DF0"/>
    <w:rsid w:val="00095D6A"/>
    <w:rsid w:val="0009745C"/>
    <w:rsid w:val="000974A2"/>
    <w:rsid w:val="000979C1"/>
    <w:rsid w:val="00097F5C"/>
    <w:rsid w:val="000A0BB8"/>
    <w:rsid w:val="000A0D21"/>
    <w:rsid w:val="000A2BCE"/>
    <w:rsid w:val="000A55A4"/>
    <w:rsid w:val="000A66A9"/>
    <w:rsid w:val="000A6E70"/>
    <w:rsid w:val="000A6F5E"/>
    <w:rsid w:val="000B1D58"/>
    <w:rsid w:val="000B1D9F"/>
    <w:rsid w:val="000B1EC4"/>
    <w:rsid w:val="000B2121"/>
    <w:rsid w:val="000B253D"/>
    <w:rsid w:val="000B30D9"/>
    <w:rsid w:val="000B361B"/>
    <w:rsid w:val="000B3C63"/>
    <w:rsid w:val="000B3D57"/>
    <w:rsid w:val="000B602B"/>
    <w:rsid w:val="000B6E9E"/>
    <w:rsid w:val="000B7206"/>
    <w:rsid w:val="000B73A9"/>
    <w:rsid w:val="000B772D"/>
    <w:rsid w:val="000B7E5A"/>
    <w:rsid w:val="000C1FBD"/>
    <w:rsid w:val="000C2659"/>
    <w:rsid w:val="000C2BDB"/>
    <w:rsid w:val="000C42E3"/>
    <w:rsid w:val="000C6F24"/>
    <w:rsid w:val="000D0E07"/>
    <w:rsid w:val="000D351D"/>
    <w:rsid w:val="000D4012"/>
    <w:rsid w:val="000D4DBC"/>
    <w:rsid w:val="000D5487"/>
    <w:rsid w:val="000D5F41"/>
    <w:rsid w:val="000D6534"/>
    <w:rsid w:val="000D7140"/>
    <w:rsid w:val="000D7623"/>
    <w:rsid w:val="000E1263"/>
    <w:rsid w:val="000E12B4"/>
    <w:rsid w:val="000E1545"/>
    <w:rsid w:val="000E23E6"/>
    <w:rsid w:val="000E3ED5"/>
    <w:rsid w:val="000E42ED"/>
    <w:rsid w:val="000E69B3"/>
    <w:rsid w:val="000E719C"/>
    <w:rsid w:val="000E7FD1"/>
    <w:rsid w:val="000F0B4D"/>
    <w:rsid w:val="000F20DA"/>
    <w:rsid w:val="000F2B99"/>
    <w:rsid w:val="000F36A1"/>
    <w:rsid w:val="000F4F99"/>
    <w:rsid w:val="000F5DC2"/>
    <w:rsid w:val="000F6967"/>
    <w:rsid w:val="000F6F83"/>
    <w:rsid w:val="00103615"/>
    <w:rsid w:val="001040D9"/>
    <w:rsid w:val="00105577"/>
    <w:rsid w:val="00105B56"/>
    <w:rsid w:val="001061E3"/>
    <w:rsid w:val="00106587"/>
    <w:rsid w:val="00110940"/>
    <w:rsid w:val="00111DD4"/>
    <w:rsid w:val="0011256A"/>
    <w:rsid w:val="0011497A"/>
    <w:rsid w:val="00114C4A"/>
    <w:rsid w:val="00114DAC"/>
    <w:rsid w:val="00116F37"/>
    <w:rsid w:val="00121C31"/>
    <w:rsid w:val="00121E5F"/>
    <w:rsid w:val="00123AA7"/>
    <w:rsid w:val="00123CEA"/>
    <w:rsid w:val="001240D5"/>
    <w:rsid w:val="001242E3"/>
    <w:rsid w:val="0012678F"/>
    <w:rsid w:val="00126FE9"/>
    <w:rsid w:val="00127362"/>
    <w:rsid w:val="00127855"/>
    <w:rsid w:val="001278DF"/>
    <w:rsid w:val="001279BD"/>
    <w:rsid w:val="00130426"/>
    <w:rsid w:val="0013249B"/>
    <w:rsid w:val="00134B7A"/>
    <w:rsid w:val="00135B24"/>
    <w:rsid w:val="001361EB"/>
    <w:rsid w:val="00136F7F"/>
    <w:rsid w:val="00137C40"/>
    <w:rsid w:val="0014119B"/>
    <w:rsid w:val="00142154"/>
    <w:rsid w:val="00142814"/>
    <w:rsid w:val="001429B2"/>
    <w:rsid w:val="00142BCE"/>
    <w:rsid w:val="001436A3"/>
    <w:rsid w:val="001455B8"/>
    <w:rsid w:val="00145E8B"/>
    <w:rsid w:val="00147D29"/>
    <w:rsid w:val="001501FB"/>
    <w:rsid w:val="001504BA"/>
    <w:rsid w:val="00150B8C"/>
    <w:rsid w:val="00151B2A"/>
    <w:rsid w:val="001523B6"/>
    <w:rsid w:val="00152C67"/>
    <w:rsid w:val="00156260"/>
    <w:rsid w:val="001562A0"/>
    <w:rsid w:val="00156FB5"/>
    <w:rsid w:val="001605AD"/>
    <w:rsid w:val="00160F80"/>
    <w:rsid w:val="00161A88"/>
    <w:rsid w:val="001626F2"/>
    <w:rsid w:val="00163FB9"/>
    <w:rsid w:val="001658FB"/>
    <w:rsid w:val="0016771D"/>
    <w:rsid w:val="00170F88"/>
    <w:rsid w:val="001723FA"/>
    <w:rsid w:val="0017256A"/>
    <w:rsid w:val="001726AC"/>
    <w:rsid w:val="0017402F"/>
    <w:rsid w:val="001810A8"/>
    <w:rsid w:val="00183ECE"/>
    <w:rsid w:val="001847D6"/>
    <w:rsid w:val="001927DB"/>
    <w:rsid w:val="0019295F"/>
    <w:rsid w:val="0019785A"/>
    <w:rsid w:val="001A042C"/>
    <w:rsid w:val="001A5571"/>
    <w:rsid w:val="001A5676"/>
    <w:rsid w:val="001A5FA4"/>
    <w:rsid w:val="001A614F"/>
    <w:rsid w:val="001B054D"/>
    <w:rsid w:val="001B0CE6"/>
    <w:rsid w:val="001B15AE"/>
    <w:rsid w:val="001B1DAF"/>
    <w:rsid w:val="001B4717"/>
    <w:rsid w:val="001B6C64"/>
    <w:rsid w:val="001B766E"/>
    <w:rsid w:val="001B7808"/>
    <w:rsid w:val="001C156E"/>
    <w:rsid w:val="001C2CA3"/>
    <w:rsid w:val="001C2F6A"/>
    <w:rsid w:val="001C42D6"/>
    <w:rsid w:val="001C57A2"/>
    <w:rsid w:val="001C6CBE"/>
    <w:rsid w:val="001C73B5"/>
    <w:rsid w:val="001D0614"/>
    <w:rsid w:val="001D445C"/>
    <w:rsid w:val="001D4E65"/>
    <w:rsid w:val="001D5AC3"/>
    <w:rsid w:val="001D5D86"/>
    <w:rsid w:val="001D63B1"/>
    <w:rsid w:val="001D7868"/>
    <w:rsid w:val="001E06FE"/>
    <w:rsid w:val="001E0F29"/>
    <w:rsid w:val="001E210A"/>
    <w:rsid w:val="001E6206"/>
    <w:rsid w:val="001E682D"/>
    <w:rsid w:val="001E6DF1"/>
    <w:rsid w:val="001E74A3"/>
    <w:rsid w:val="001E778F"/>
    <w:rsid w:val="001E7BB3"/>
    <w:rsid w:val="001F09F3"/>
    <w:rsid w:val="001F0FC9"/>
    <w:rsid w:val="001F24C0"/>
    <w:rsid w:val="001F2936"/>
    <w:rsid w:val="001F2E23"/>
    <w:rsid w:val="001F3C85"/>
    <w:rsid w:val="001F4020"/>
    <w:rsid w:val="001F4D64"/>
    <w:rsid w:val="001F528B"/>
    <w:rsid w:val="001F5AFA"/>
    <w:rsid w:val="001F7190"/>
    <w:rsid w:val="001F7716"/>
    <w:rsid w:val="0020013D"/>
    <w:rsid w:val="00200472"/>
    <w:rsid w:val="00201266"/>
    <w:rsid w:val="00201878"/>
    <w:rsid w:val="00201E08"/>
    <w:rsid w:val="00202612"/>
    <w:rsid w:val="00203D60"/>
    <w:rsid w:val="00204099"/>
    <w:rsid w:val="00204665"/>
    <w:rsid w:val="00204688"/>
    <w:rsid w:val="00205E27"/>
    <w:rsid w:val="00206282"/>
    <w:rsid w:val="002070CC"/>
    <w:rsid w:val="00210B9D"/>
    <w:rsid w:val="00210DCA"/>
    <w:rsid w:val="00210F5A"/>
    <w:rsid w:val="002114C1"/>
    <w:rsid w:val="00211A9F"/>
    <w:rsid w:val="002129AC"/>
    <w:rsid w:val="00212D96"/>
    <w:rsid w:val="00212E35"/>
    <w:rsid w:val="0021348A"/>
    <w:rsid w:val="002154B1"/>
    <w:rsid w:val="00216317"/>
    <w:rsid w:val="00217706"/>
    <w:rsid w:val="0021792D"/>
    <w:rsid w:val="00220C70"/>
    <w:rsid w:val="00221C47"/>
    <w:rsid w:val="00223223"/>
    <w:rsid w:val="00223912"/>
    <w:rsid w:val="002243F9"/>
    <w:rsid w:val="00224B56"/>
    <w:rsid w:val="00225F94"/>
    <w:rsid w:val="0022656C"/>
    <w:rsid w:val="00234152"/>
    <w:rsid w:val="00234D4E"/>
    <w:rsid w:val="00236584"/>
    <w:rsid w:val="00236C1D"/>
    <w:rsid w:val="0023734B"/>
    <w:rsid w:val="0024091C"/>
    <w:rsid w:val="00240BB9"/>
    <w:rsid w:val="00241F2D"/>
    <w:rsid w:val="0024278B"/>
    <w:rsid w:val="00244C36"/>
    <w:rsid w:val="0024528C"/>
    <w:rsid w:val="00245475"/>
    <w:rsid w:val="00245550"/>
    <w:rsid w:val="00245C3D"/>
    <w:rsid w:val="00247085"/>
    <w:rsid w:val="00247D87"/>
    <w:rsid w:val="0025038A"/>
    <w:rsid w:val="00250B9A"/>
    <w:rsid w:val="00253978"/>
    <w:rsid w:val="00253DF5"/>
    <w:rsid w:val="00255246"/>
    <w:rsid w:val="002564BE"/>
    <w:rsid w:val="00256E0E"/>
    <w:rsid w:val="00262918"/>
    <w:rsid w:val="002630EC"/>
    <w:rsid w:val="00265200"/>
    <w:rsid w:val="00266954"/>
    <w:rsid w:val="0026719A"/>
    <w:rsid w:val="002673B0"/>
    <w:rsid w:val="00267A26"/>
    <w:rsid w:val="00267EB1"/>
    <w:rsid w:val="00271A3F"/>
    <w:rsid w:val="00272EBF"/>
    <w:rsid w:val="00274CDE"/>
    <w:rsid w:val="00275637"/>
    <w:rsid w:val="00277EAC"/>
    <w:rsid w:val="002827A3"/>
    <w:rsid w:val="00282EF8"/>
    <w:rsid w:val="00283248"/>
    <w:rsid w:val="00283EB4"/>
    <w:rsid w:val="002845B1"/>
    <w:rsid w:val="00286605"/>
    <w:rsid w:val="002869B7"/>
    <w:rsid w:val="0028723D"/>
    <w:rsid w:val="002907FF"/>
    <w:rsid w:val="00290B3B"/>
    <w:rsid w:val="00290F70"/>
    <w:rsid w:val="0029145B"/>
    <w:rsid w:val="00292056"/>
    <w:rsid w:val="002941D3"/>
    <w:rsid w:val="00295263"/>
    <w:rsid w:val="0029556F"/>
    <w:rsid w:val="0029587E"/>
    <w:rsid w:val="002966A3"/>
    <w:rsid w:val="002973A7"/>
    <w:rsid w:val="002976E7"/>
    <w:rsid w:val="002A14E3"/>
    <w:rsid w:val="002A259A"/>
    <w:rsid w:val="002A45A1"/>
    <w:rsid w:val="002A54E1"/>
    <w:rsid w:val="002A562E"/>
    <w:rsid w:val="002A668D"/>
    <w:rsid w:val="002B12B5"/>
    <w:rsid w:val="002B41EF"/>
    <w:rsid w:val="002B45E1"/>
    <w:rsid w:val="002B4694"/>
    <w:rsid w:val="002B771C"/>
    <w:rsid w:val="002B797D"/>
    <w:rsid w:val="002B7F3A"/>
    <w:rsid w:val="002C090A"/>
    <w:rsid w:val="002C1B72"/>
    <w:rsid w:val="002C1C40"/>
    <w:rsid w:val="002C2425"/>
    <w:rsid w:val="002C24F5"/>
    <w:rsid w:val="002C3D81"/>
    <w:rsid w:val="002C4511"/>
    <w:rsid w:val="002C5544"/>
    <w:rsid w:val="002C6190"/>
    <w:rsid w:val="002C692F"/>
    <w:rsid w:val="002D0371"/>
    <w:rsid w:val="002D0A5A"/>
    <w:rsid w:val="002D5C23"/>
    <w:rsid w:val="002D5D50"/>
    <w:rsid w:val="002D6800"/>
    <w:rsid w:val="002D7816"/>
    <w:rsid w:val="002E1740"/>
    <w:rsid w:val="002E22E9"/>
    <w:rsid w:val="002E3265"/>
    <w:rsid w:val="002E4294"/>
    <w:rsid w:val="002E43AA"/>
    <w:rsid w:val="002E4B32"/>
    <w:rsid w:val="002E57F2"/>
    <w:rsid w:val="002E6929"/>
    <w:rsid w:val="002E7077"/>
    <w:rsid w:val="002F0322"/>
    <w:rsid w:val="002F0FD9"/>
    <w:rsid w:val="002F12DD"/>
    <w:rsid w:val="002F28A9"/>
    <w:rsid w:val="002F530B"/>
    <w:rsid w:val="002F70BF"/>
    <w:rsid w:val="00300382"/>
    <w:rsid w:val="00300603"/>
    <w:rsid w:val="00301064"/>
    <w:rsid w:val="0030172A"/>
    <w:rsid w:val="00302B9A"/>
    <w:rsid w:val="00302C59"/>
    <w:rsid w:val="003042F5"/>
    <w:rsid w:val="00304B68"/>
    <w:rsid w:val="00304E1C"/>
    <w:rsid w:val="0030614B"/>
    <w:rsid w:val="00306DB7"/>
    <w:rsid w:val="003102C4"/>
    <w:rsid w:val="00312121"/>
    <w:rsid w:val="003129FA"/>
    <w:rsid w:val="00312F3A"/>
    <w:rsid w:val="00316B16"/>
    <w:rsid w:val="00316D94"/>
    <w:rsid w:val="0031739B"/>
    <w:rsid w:val="003213B6"/>
    <w:rsid w:val="00323088"/>
    <w:rsid w:val="00323D0E"/>
    <w:rsid w:val="00324AE0"/>
    <w:rsid w:val="003263C5"/>
    <w:rsid w:val="00327D73"/>
    <w:rsid w:val="00331599"/>
    <w:rsid w:val="00332191"/>
    <w:rsid w:val="0033290A"/>
    <w:rsid w:val="00340F1E"/>
    <w:rsid w:val="003418A2"/>
    <w:rsid w:val="00341FB9"/>
    <w:rsid w:val="0034215C"/>
    <w:rsid w:val="0034322C"/>
    <w:rsid w:val="0034393D"/>
    <w:rsid w:val="003442EE"/>
    <w:rsid w:val="00345113"/>
    <w:rsid w:val="00345673"/>
    <w:rsid w:val="003460CC"/>
    <w:rsid w:val="003460D5"/>
    <w:rsid w:val="003479E3"/>
    <w:rsid w:val="00350CE2"/>
    <w:rsid w:val="00350E71"/>
    <w:rsid w:val="00351BF5"/>
    <w:rsid w:val="00352D83"/>
    <w:rsid w:val="00352E3C"/>
    <w:rsid w:val="00353F42"/>
    <w:rsid w:val="003540E8"/>
    <w:rsid w:val="0035412D"/>
    <w:rsid w:val="00354B3D"/>
    <w:rsid w:val="00356533"/>
    <w:rsid w:val="00356C4A"/>
    <w:rsid w:val="0036132D"/>
    <w:rsid w:val="003616D5"/>
    <w:rsid w:val="0036309F"/>
    <w:rsid w:val="003637E1"/>
    <w:rsid w:val="0036558F"/>
    <w:rsid w:val="00366E4B"/>
    <w:rsid w:val="00367D9C"/>
    <w:rsid w:val="003719BD"/>
    <w:rsid w:val="00371D62"/>
    <w:rsid w:val="003723EB"/>
    <w:rsid w:val="00374273"/>
    <w:rsid w:val="00375E56"/>
    <w:rsid w:val="003763BD"/>
    <w:rsid w:val="00376899"/>
    <w:rsid w:val="00376C62"/>
    <w:rsid w:val="00376F9D"/>
    <w:rsid w:val="0037778C"/>
    <w:rsid w:val="00380FEC"/>
    <w:rsid w:val="00382BD1"/>
    <w:rsid w:val="003865CE"/>
    <w:rsid w:val="00386A23"/>
    <w:rsid w:val="00391328"/>
    <w:rsid w:val="00392D30"/>
    <w:rsid w:val="00393014"/>
    <w:rsid w:val="00395D86"/>
    <w:rsid w:val="00396ABF"/>
    <w:rsid w:val="003974A9"/>
    <w:rsid w:val="003A03C5"/>
    <w:rsid w:val="003A379C"/>
    <w:rsid w:val="003A4C41"/>
    <w:rsid w:val="003A528D"/>
    <w:rsid w:val="003B27B2"/>
    <w:rsid w:val="003B2B6D"/>
    <w:rsid w:val="003B3129"/>
    <w:rsid w:val="003B427E"/>
    <w:rsid w:val="003B474D"/>
    <w:rsid w:val="003B554D"/>
    <w:rsid w:val="003B5606"/>
    <w:rsid w:val="003C038E"/>
    <w:rsid w:val="003C2160"/>
    <w:rsid w:val="003C26DB"/>
    <w:rsid w:val="003C33AE"/>
    <w:rsid w:val="003C562C"/>
    <w:rsid w:val="003C562D"/>
    <w:rsid w:val="003C7072"/>
    <w:rsid w:val="003C770E"/>
    <w:rsid w:val="003D0666"/>
    <w:rsid w:val="003D0BB2"/>
    <w:rsid w:val="003D1B47"/>
    <w:rsid w:val="003D38E7"/>
    <w:rsid w:val="003D5DF2"/>
    <w:rsid w:val="003D7BD6"/>
    <w:rsid w:val="003D7D7C"/>
    <w:rsid w:val="003E075B"/>
    <w:rsid w:val="003E080F"/>
    <w:rsid w:val="003E1639"/>
    <w:rsid w:val="003E2C80"/>
    <w:rsid w:val="003E44BD"/>
    <w:rsid w:val="003E5250"/>
    <w:rsid w:val="003E53A8"/>
    <w:rsid w:val="003E6C8E"/>
    <w:rsid w:val="003E7200"/>
    <w:rsid w:val="003E7C1D"/>
    <w:rsid w:val="003F0086"/>
    <w:rsid w:val="003F0D8C"/>
    <w:rsid w:val="003F136D"/>
    <w:rsid w:val="003F22B3"/>
    <w:rsid w:val="003F26ED"/>
    <w:rsid w:val="003F3705"/>
    <w:rsid w:val="003F37A8"/>
    <w:rsid w:val="003F4106"/>
    <w:rsid w:val="003F4121"/>
    <w:rsid w:val="003F5FB6"/>
    <w:rsid w:val="003F70DC"/>
    <w:rsid w:val="004010E6"/>
    <w:rsid w:val="00401864"/>
    <w:rsid w:val="004019C5"/>
    <w:rsid w:val="00401E80"/>
    <w:rsid w:val="00403CFA"/>
    <w:rsid w:val="00404B79"/>
    <w:rsid w:val="004073B2"/>
    <w:rsid w:val="00410014"/>
    <w:rsid w:val="00410C3B"/>
    <w:rsid w:val="00414443"/>
    <w:rsid w:val="00414F82"/>
    <w:rsid w:val="00415019"/>
    <w:rsid w:val="00415F31"/>
    <w:rsid w:val="004166FC"/>
    <w:rsid w:val="00416A78"/>
    <w:rsid w:val="004177BC"/>
    <w:rsid w:val="004225B9"/>
    <w:rsid w:val="00423749"/>
    <w:rsid w:val="0042387F"/>
    <w:rsid w:val="00423CB0"/>
    <w:rsid w:val="004251D0"/>
    <w:rsid w:val="00426C3A"/>
    <w:rsid w:val="00427343"/>
    <w:rsid w:val="00427959"/>
    <w:rsid w:val="004314C1"/>
    <w:rsid w:val="00433D6F"/>
    <w:rsid w:val="004376C7"/>
    <w:rsid w:val="004416AB"/>
    <w:rsid w:val="00441A95"/>
    <w:rsid w:val="0044249A"/>
    <w:rsid w:val="00442E19"/>
    <w:rsid w:val="004440B8"/>
    <w:rsid w:val="00444D06"/>
    <w:rsid w:val="00446E77"/>
    <w:rsid w:val="004511D9"/>
    <w:rsid w:val="0045141C"/>
    <w:rsid w:val="004519AB"/>
    <w:rsid w:val="004533C9"/>
    <w:rsid w:val="00453BD4"/>
    <w:rsid w:val="00453F64"/>
    <w:rsid w:val="004542F6"/>
    <w:rsid w:val="0045493A"/>
    <w:rsid w:val="00455EEB"/>
    <w:rsid w:val="004560B9"/>
    <w:rsid w:val="00457BD7"/>
    <w:rsid w:val="004608B9"/>
    <w:rsid w:val="0046096A"/>
    <w:rsid w:val="00460C14"/>
    <w:rsid w:val="00461406"/>
    <w:rsid w:val="00463FBA"/>
    <w:rsid w:val="00465653"/>
    <w:rsid w:val="004659E5"/>
    <w:rsid w:val="00467CEE"/>
    <w:rsid w:val="00472184"/>
    <w:rsid w:val="00474F75"/>
    <w:rsid w:val="0047521F"/>
    <w:rsid w:val="004762B0"/>
    <w:rsid w:val="0047664B"/>
    <w:rsid w:val="00477E4C"/>
    <w:rsid w:val="00480280"/>
    <w:rsid w:val="00480B34"/>
    <w:rsid w:val="004812F6"/>
    <w:rsid w:val="00483D81"/>
    <w:rsid w:val="00484200"/>
    <w:rsid w:val="004842A1"/>
    <w:rsid w:val="0048482E"/>
    <w:rsid w:val="00484C13"/>
    <w:rsid w:val="0049050C"/>
    <w:rsid w:val="004908A4"/>
    <w:rsid w:val="004936CE"/>
    <w:rsid w:val="004943C4"/>
    <w:rsid w:val="004952C4"/>
    <w:rsid w:val="00495AD6"/>
    <w:rsid w:val="00496A96"/>
    <w:rsid w:val="0049747F"/>
    <w:rsid w:val="004A05EC"/>
    <w:rsid w:val="004A0A43"/>
    <w:rsid w:val="004A100E"/>
    <w:rsid w:val="004A1181"/>
    <w:rsid w:val="004A1A6B"/>
    <w:rsid w:val="004A290F"/>
    <w:rsid w:val="004A39B0"/>
    <w:rsid w:val="004A3EE4"/>
    <w:rsid w:val="004A4A95"/>
    <w:rsid w:val="004A4AFE"/>
    <w:rsid w:val="004A5188"/>
    <w:rsid w:val="004A5B00"/>
    <w:rsid w:val="004B0985"/>
    <w:rsid w:val="004B28E1"/>
    <w:rsid w:val="004B2F97"/>
    <w:rsid w:val="004B3AAE"/>
    <w:rsid w:val="004B6193"/>
    <w:rsid w:val="004B79F9"/>
    <w:rsid w:val="004C06D9"/>
    <w:rsid w:val="004C1E4D"/>
    <w:rsid w:val="004C340E"/>
    <w:rsid w:val="004C474D"/>
    <w:rsid w:val="004C6584"/>
    <w:rsid w:val="004C7FD3"/>
    <w:rsid w:val="004D03D3"/>
    <w:rsid w:val="004D1125"/>
    <w:rsid w:val="004D1446"/>
    <w:rsid w:val="004D27E8"/>
    <w:rsid w:val="004D2870"/>
    <w:rsid w:val="004D3AAD"/>
    <w:rsid w:val="004D440E"/>
    <w:rsid w:val="004D7975"/>
    <w:rsid w:val="004D7C1A"/>
    <w:rsid w:val="004D7FC6"/>
    <w:rsid w:val="004E0EA3"/>
    <w:rsid w:val="004E2408"/>
    <w:rsid w:val="004E3496"/>
    <w:rsid w:val="004E3D5F"/>
    <w:rsid w:val="004E543C"/>
    <w:rsid w:val="004E5802"/>
    <w:rsid w:val="004E6B2D"/>
    <w:rsid w:val="004E7644"/>
    <w:rsid w:val="004F107C"/>
    <w:rsid w:val="004F1561"/>
    <w:rsid w:val="004F231D"/>
    <w:rsid w:val="004F54AB"/>
    <w:rsid w:val="004F5556"/>
    <w:rsid w:val="004F563E"/>
    <w:rsid w:val="00503004"/>
    <w:rsid w:val="005031F8"/>
    <w:rsid w:val="00503599"/>
    <w:rsid w:val="005040BE"/>
    <w:rsid w:val="0050422A"/>
    <w:rsid w:val="00504980"/>
    <w:rsid w:val="00506128"/>
    <w:rsid w:val="005065C2"/>
    <w:rsid w:val="005071B7"/>
    <w:rsid w:val="0051030F"/>
    <w:rsid w:val="0051098B"/>
    <w:rsid w:val="00511801"/>
    <w:rsid w:val="005138D1"/>
    <w:rsid w:val="005145B7"/>
    <w:rsid w:val="00515952"/>
    <w:rsid w:val="00516F72"/>
    <w:rsid w:val="00520A43"/>
    <w:rsid w:val="00524AF7"/>
    <w:rsid w:val="0052515C"/>
    <w:rsid w:val="00527285"/>
    <w:rsid w:val="005306A9"/>
    <w:rsid w:val="005308F9"/>
    <w:rsid w:val="00530E08"/>
    <w:rsid w:val="005330EC"/>
    <w:rsid w:val="00534AD6"/>
    <w:rsid w:val="005351E9"/>
    <w:rsid w:val="00536796"/>
    <w:rsid w:val="005379CF"/>
    <w:rsid w:val="00540A3A"/>
    <w:rsid w:val="0054217C"/>
    <w:rsid w:val="00542C4F"/>
    <w:rsid w:val="005434A0"/>
    <w:rsid w:val="00543C41"/>
    <w:rsid w:val="00543F2C"/>
    <w:rsid w:val="005441A6"/>
    <w:rsid w:val="00544793"/>
    <w:rsid w:val="00545907"/>
    <w:rsid w:val="005479FF"/>
    <w:rsid w:val="0055024C"/>
    <w:rsid w:val="00550E02"/>
    <w:rsid w:val="00551573"/>
    <w:rsid w:val="00553F09"/>
    <w:rsid w:val="00556929"/>
    <w:rsid w:val="00556F0A"/>
    <w:rsid w:val="00557457"/>
    <w:rsid w:val="00557946"/>
    <w:rsid w:val="00561342"/>
    <w:rsid w:val="005615F8"/>
    <w:rsid w:val="005632EA"/>
    <w:rsid w:val="00563B35"/>
    <w:rsid w:val="00566B72"/>
    <w:rsid w:val="00567A19"/>
    <w:rsid w:val="0057076C"/>
    <w:rsid w:val="00572A90"/>
    <w:rsid w:val="00573034"/>
    <w:rsid w:val="00573B70"/>
    <w:rsid w:val="00574C93"/>
    <w:rsid w:val="005752BF"/>
    <w:rsid w:val="00575EFA"/>
    <w:rsid w:val="00575FFD"/>
    <w:rsid w:val="00580552"/>
    <w:rsid w:val="00580D72"/>
    <w:rsid w:val="0058352D"/>
    <w:rsid w:val="00583C4C"/>
    <w:rsid w:val="00586829"/>
    <w:rsid w:val="005900C7"/>
    <w:rsid w:val="0059068D"/>
    <w:rsid w:val="00592267"/>
    <w:rsid w:val="00592736"/>
    <w:rsid w:val="0059281C"/>
    <w:rsid w:val="00593ED5"/>
    <w:rsid w:val="00593F34"/>
    <w:rsid w:val="00595E9D"/>
    <w:rsid w:val="005A0C1F"/>
    <w:rsid w:val="005A42E3"/>
    <w:rsid w:val="005A7798"/>
    <w:rsid w:val="005B0EFC"/>
    <w:rsid w:val="005B13DF"/>
    <w:rsid w:val="005B482B"/>
    <w:rsid w:val="005B57A4"/>
    <w:rsid w:val="005B5920"/>
    <w:rsid w:val="005B5A84"/>
    <w:rsid w:val="005B6B2F"/>
    <w:rsid w:val="005B6F29"/>
    <w:rsid w:val="005C0B88"/>
    <w:rsid w:val="005C1478"/>
    <w:rsid w:val="005C2B4D"/>
    <w:rsid w:val="005C52CF"/>
    <w:rsid w:val="005D2ABA"/>
    <w:rsid w:val="005D549B"/>
    <w:rsid w:val="005D63E9"/>
    <w:rsid w:val="005E0B39"/>
    <w:rsid w:val="005E1112"/>
    <w:rsid w:val="005E2DCC"/>
    <w:rsid w:val="005E3BE7"/>
    <w:rsid w:val="005E49A3"/>
    <w:rsid w:val="005E6476"/>
    <w:rsid w:val="005E70F5"/>
    <w:rsid w:val="005E7A52"/>
    <w:rsid w:val="005F325F"/>
    <w:rsid w:val="005F4A5F"/>
    <w:rsid w:val="005F5E11"/>
    <w:rsid w:val="005F619E"/>
    <w:rsid w:val="005F682A"/>
    <w:rsid w:val="005F70F3"/>
    <w:rsid w:val="005F7640"/>
    <w:rsid w:val="005F778E"/>
    <w:rsid w:val="0060214B"/>
    <w:rsid w:val="006047ED"/>
    <w:rsid w:val="00604B29"/>
    <w:rsid w:val="006062E7"/>
    <w:rsid w:val="00606601"/>
    <w:rsid w:val="00606E1B"/>
    <w:rsid w:val="00607287"/>
    <w:rsid w:val="006075B3"/>
    <w:rsid w:val="00607E31"/>
    <w:rsid w:val="00613CDB"/>
    <w:rsid w:val="00615165"/>
    <w:rsid w:val="00616423"/>
    <w:rsid w:val="00617360"/>
    <w:rsid w:val="00620F86"/>
    <w:rsid w:val="006213C0"/>
    <w:rsid w:val="0062585B"/>
    <w:rsid w:val="00625A2B"/>
    <w:rsid w:val="00625D4D"/>
    <w:rsid w:val="00626BBB"/>
    <w:rsid w:val="006310A3"/>
    <w:rsid w:val="00632241"/>
    <w:rsid w:val="006348D4"/>
    <w:rsid w:val="006350A2"/>
    <w:rsid w:val="00635221"/>
    <w:rsid w:val="00635E2A"/>
    <w:rsid w:val="00637395"/>
    <w:rsid w:val="00641417"/>
    <w:rsid w:val="00644ED9"/>
    <w:rsid w:val="00646B73"/>
    <w:rsid w:val="006515AA"/>
    <w:rsid w:val="0065166F"/>
    <w:rsid w:val="00652CE0"/>
    <w:rsid w:val="00653BED"/>
    <w:rsid w:val="00654321"/>
    <w:rsid w:val="00654326"/>
    <w:rsid w:val="00656498"/>
    <w:rsid w:val="006577BE"/>
    <w:rsid w:val="00657FBF"/>
    <w:rsid w:val="00661012"/>
    <w:rsid w:val="006624CC"/>
    <w:rsid w:val="00662ED0"/>
    <w:rsid w:val="0066368A"/>
    <w:rsid w:val="00663BEC"/>
    <w:rsid w:val="00664575"/>
    <w:rsid w:val="00667148"/>
    <w:rsid w:val="00670E3D"/>
    <w:rsid w:val="00672579"/>
    <w:rsid w:val="00672870"/>
    <w:rsid w:val="006809E4"/>
    <w:rsid w:val="00682336"/>
    <w:rsid w:val="0068314D"/>
    <w:rsid w:val="0068317C"/>
    <w:rsid w:val="006872B1"/>
    <w:rsid w:val="00691E38"/>
    <w:rsid w:val="00692E5D"/>
    <w:rsid w:val="00696CBD"/>
    <w:rsid w:val="00697EF2"/>
    <w:rsid w:val="006A072B"/>
    <w:rsid w:val="006A13AB"/>
    <w:rsid w:val="006A1F93"/>
    <w:rsid w:val="006A2D8B"/>
    <w:rsid w:val="006A3927"/>
    <w:rsid w:val="006A39FF"/>
    <w:rsid w:val="006A531D"/>
    <w:rsid w:val="006B06B8"/>
    <w:rsid w:val="006B0DA9"/>
    <w:rsid w:val="006B1225"/>
    <w:rsid w:val="006B1B76"/>
    <w:rsid w:val="006B262A"/>
    <w:rsid w:val="006B3C09"/>
    <w:rsid w:val="006B572A"/>
    <w:rsid w:val="006B5E8C"/>
    <w:rsid w:val="006B64A2"/>
    <w:rsid w:val="006B7171"/>
    <w:rsid w:val="006B78B4"/>
    <w:rsid w:val="006C069B"/>
    <w:rsid w:val="006C08B9"/>
    <w:rsid w:val="006C0B52"/>
    <w:rsid w:val="006C0DB6"/>
    <w:rsid w:val="006C486F"/>
    <w:rsid w:val="006C53B8"/>
    <w:rsid w:val="006C5E01"/>
    <w:rsid w:val="006C6932"/>
    <w:rsid w:val="006C73DA"/>
    <w:rsid w:val="006C79BC"/>
    <w:rsid w:val="006D0713"/>
    <w:rsid w:val="006D159B"/>
    <w:rsid w:val="006D1927"/>
    <w:rsid w:val="006D4AB1"/>
    <w:rsid w:val="006D66E3"/>
    <w:rsid w:val="006D7F98"/>
    <w:rsid w:val="006E098B"/>
    <w:rsid w:val="006E1CEA"/>
    <w:rsid w:val="006E3AA7"/>
    <w:rsid w:val="006E3DC5"/>
    <w:rsid w:val="006E4497"/>
    <w:rsid w:val="006E5A34"/>
    <w:rsid w:val="006E6AEA"/>
    <w:rsid w:val="006F0ADE"/>
    <w:rsid w:val="006F5F91"/>
    <w:rsid w:val="006F6F7F"/>
    <w:rsid w:val="006F775F"/>
    <w:rsid w:val="00702176"/>
    <w:rsid w:val="00702743"/>
    <w:rsid w:val="00702C98"/>
    <w:rsid w:val="007037D1"/>
    <w:rsid w:val="007046C9"/>
    <w:rsid w:val="007051F6"/>
    <w:rsid w:val="007063F6"/>
    <w:rsid w:val="0070658B"/>
    <w:rsid w:val="007065A2"/>
    <w:rsid w:val="007074B5"/>
    <w:rsid w:val="0070753F"/>
    <w:rsid w:val="007102E4"/>
    <w:rsid w:val="00710A37"/>
    <w:rsid w:val="007111A0"/>
    <w:rsid w:val="007128C6"/>
    <w:rsid w:val="00714580"/>
    <w:rsid w:val="00714CC2"/>
    <w:rsid w:val="00725300"/>
    <w:rsid w:val="007272ED"/>
    <w:rsid w:val="00727EEC"/>
    <w:rsid w:val="00733427"/>
    <w:rsid w:val="00733BF0"/>
    <w:rsid w:val="00734A17"/>
    <w:rsid w:val="00735097"/>
    <w:rsid w:val="007355A2"/>
    <w:rsid w:val="0073663C"/>
    <w:rsid w:val="00736735"/>
    <w:rsid w:val="0073798D"/>
    <w:rsid w:val="00737DCA"/>
    <w:rsid w:val="0074026D"/>
    <w:rsid w:val="0074055A"/>
    <w:rsid w:val="00740664"/>
    <w:rsid w:val="00740955"/>
    <w:rsid w:val="00741D80"/>
    <w:rsid w:val="0074278B"/>
    <w:rsid w:val="00742BCE"/>
    <w:rsid w:val="00742F02"/>
    <w:rsid w:val="00743800"/>
    <w:rsid w:val="00745146"/>
    <w:rsid w:val="007475E1"/>
    <w:rsid w:val="007503F0"/>
    <w:rsid w:val="007519D7"/>
    <w:rsid w:val="007531CB"/>
    <w:rsid w:val="0075371A"/>
    <w:rsid w:val="00753788"/>
    <w:rsid w:val="00755E50"/>
    <w:rsid w:val="007564EF"/>
    <w:rsid w:val="00756746"/>
    <w:rsid w:val="007567A8"/>
    <w:rsid w:val="00757BCD"/>
    <w:rsid w:val="00761C88"/>
    <w:rsid w:val="00762AAA"/>
    <w:rsid w:val="00762DC2"/>
    <w:rsid w:val="0076649A"/>
    <w:rsid w:val="00766DE5"/>
    <w:rsid w:val="007673CD"/>
    <w:rsid w:val="007674F4"/>
    <w:rsid w:val="0077099C"/>
    <w:rsid w:val="007725DF"/>
    <w:rsid w:val="0077375F"/>
    <w:rsid w:val="00773879"/>
    <w:rsid w:val="00773B94"/>
    <w:rsid w:val="00774570"/>
    <w:rsid w:val="007749EC"/>
    <w:rsid w:val="00774CCA"/>
    <w:rsid w:val="00774DAE"/>
    <w:rsid w:val="00777016"/>
    <w:rsid w:val="00781EE8"/>
    <w:rsid w:val="007826BF"/>
    <w:rsid w:val="00782E19"/>
    <w:rsid w:val="007840B0"/>
    <w:rsid w:val="00784C82"/>
    <w:rsid w:val="007852FC"/>
    <w:rsid w:val="00786334"/>
    <w:rsid w:val="00786DAF"/>
    <w:rsid w:val="0078775A"/>
    <w:rsid w:val="007903D6"/>
    <w:rsid w:val="00790828"/>
    <w:rsid w:val="00790FAF"/>
    <w:rsid w:val="007910D9"/>
    <w:rsid w:val="00791DD0"/>
    <w:rsid w:val="00796D05"/>
    <w:rsid w:val="00796E8E"/>
    <w:rsid w:val="00796F41"/>
    <w:rsid w:val="007A0A27"/>
    <w:rsid w:val="007A10FA"/>
    <w:rsid w:val="007A1507"/>
    <w:rsid w:val="007A175B"/>
    <w:rsid w:val="007A37AC"/>
    <w:rsid w:val="007A6A6E"/>
    <w:rsid w:val="007A7BBD"/>
    <w:rsid w:val="007A7D3D"/>
    <w:rsid w:val="007B0C8A"/>
    <w:rsid w:val="007B1AB5"/>
    <w:rsid w:val="007B2E72"/>
    <w:rsid w:val="007B2F4A"/>
    <w:rsid w:val="007B470F"/>
    <w:rsid w:val="007B6E03"/>
    <w:rsid w:val="007C09BD"/>
    <w:rsid w:val="007C1D94"/>
    <w:rsid w:val="007C3661"/>
    <w:rsid w:val="007C38E4"/>
    <w:rsid w:val="007C4133"/>
    <w:rsid w:val="007C56E9"/>
    <w:rsid w:val="007C65D1"/>
    <w:rsid w:val="007C6944"/>
    <w:rsid w:val="007C6972"/>
    <w:rsid w:val="007C71BC"/>
    <w:rsid w:val="007C7CA5"/>
    <w:rsid w:val="007D071F"/>
    <w:rsid w:val="007D0812"/>
    <w:rsid w:val="007E1BF3"/>
    <w:rsid w:val="007E3F89"/>
    <w:rsid w:val="007E4292"/>
    <w:rsid w:val="007E50AC"/>
    <w:rsid w:val="007E528A"/>
    <w:rsid w:val="007E5F2B"/>
    <w:rsid w:val="007E663C"/>
    <w:rsid w:val="007E68AB"/>
    <w:rsid w:val="007F1B02"/>
    <w:rsid w:val="007F1D7A"/>
    <w:rsid w:val="007F32B8"/>
    <w:rsid w:val="007F454A"/>
    <w:rsid w:val="007F4B63"/>
    <w:rsid w:val="007F5185"/>
    <w:rsid w:val="007F522E"/>
    <w:rsid w:val="007F678D"/>
    <w:rsid w:val="007F7D79"/>
    <w:rsid w:val="008007B8"/>
    <w:rsid w:val="0080093A"/>
    <w:rsid w:val="00802B69"/>
    <w:rsid w:val="00803B6F"/>
    <w:rsid w:val="00804826"/>
    <w:rsid w:val="00804ED8"/>
    <w:rsid w:val="008058C2"/>
    <w:rsid w:val="00806B39"/>
    <w:rsid w:val="00810A72"/>
    <w:rsid w:val="00811118"/>
    <w:rsid w:val="008138EB"/>
    <w:rsid w:val="008144F1"/>
    <w:rsid w:val="00814CFD"/>
    <w:rsid w:val="008151C3"/>
    <w:rsid w:val="008154FB"/>
    <w:rsid w:val="00816D34"/>
    <w:rsid w:val="008176C1"/>
    <w:rsid w:val="00817D05"/>
    <w:rsid w:val="00817DE9"/>
    <w:rsid w:val="00821292"/>
    <w:rsid w:val="008216B0"/>
    <w:rsid w:val="00821CB6"/>
    <w:rsid w:val="00823223"/>
    <w:rsid w:val="008245D8"/>
    <w:rsid w:val="0082713C"/>
    <w:rsid w:val="00827AD6"/>
    <w:rsid w:val="00830814"/>
    <w:rsid w:val="00832434"/>
    <w:rsid w:val="00833166"/>
    <w:rsid w:val="00833D13"/>
    <w:rsid w:val="008406B4"/>
    <w:rsid w:val="00842B5D"/>
    <w:rsid w:val="00842E7C"/>
    <w:rsid w:val="00843B6B"/>
    <w:rsid w:val="008448FF"/>
    <w:rsid w:val="00845708"/>
    <w:rsid w:val="00845B05"/>
    <w:rsid w:val="00850E38"/>
    <w:rsid w:val="00851EF2"/>
    <w:rsid w:val="008535BE"/>
    <w:rsid w:val="008536B5"/>
    <w:rsid w:val="00857E16"/>
    <w:rsid w:val="00860C1A"/>
    <w:rsid w:val="0086139F"/>
    <w:rsid w:val="00861DCB"/>
    <w:rsid w:val="0086438F"/>
    <w:rsid w:val="0086452B"/>
    <w:rsid w:val="00864DDA"/>
    <w:rsid w:val="00865D65"/>
    <w:rsid w:val="00867359"/>
    <w:rsid w:val="00874DE6"/>
    <w:rsid w:val="00874E03"/>
    <w:rsid w:val="0087557A"/>
    <w:rsid w:val="008755FD"/>
    <w:rsid w:val="00875669"/>
    <w:rsid w:val="00875C63"/>
    <w:rsid w:val="00875D0F"/>
    <w:rsid w:val="00876D4A"/>
    <w:rsid w:val="008778B3"/>
    <w:rsid w:val="00877B2F"/>
    <w:rsid w:val="00877CA8"/>
    <w:rsid w:val="00880044"/>
    <w:rsid w:val="00880D7B"/>
    <w:rsid w:val="00880F24"/>
    <w:rsid w:val="008836EC"/>
    <w:rsid w:val="00883BE4"/>
    <w:rsid w:val="00885552"/>
    <w:rsid w:val="008857E2"/>
    <w:rsid w:val="00886034"/>
    <w:rsid w:val="00886AA2"/>
    <w:rsid w:val="008870D6"/>
    <w:rsid w:val="00890B54"/>
    <w:rsid w:val="0089237A"/>
    <w:rsid w:val="0089246E"/>
    <w:rsid w:val="00892809"/>
    <w:rsid w:val="008941BC"/>
    <w:rsid w:val="00895357"/>
    <w:rsid w:val="0089551B"/>
    <w:rsid w:val="008A3590"/>
    <w:rsid w:val="008A3DF6"/>
    <w:rsid w:val="008A4452"/>
    <w:rsid w:val="008A7646"/>
    <w:rsid w:val="008A7AA8"/>
    <w:rsid w:val="008B0BFE"/>
    <w:rsid w:val="008B111C"/>
    <w:rsid w:val="008B2AAE"/>
    <w:rsid w:val="008B2C4E"/>
    <w:rsid w:val="008B3DE2"/>
    <w:rsid w:val="008B4384"/>
    <w:rsid w:val="008B46E0"/>
    <w:rsid w:val="008B578D"/>
    <w:rsid w:val="008B7963"/>
    <w:rsid w:val="008C1284"/>
    <w:rsid w:val="008C2400"/>
    <w:rsid w:val="008C29EA"/>
    <w:rsid w:val="008C4C64"/>
    <w:rsid w:val="008C75D8"/>
    <w:rsid w:val="008D37C9"/>
    <w:rsid w:val="008D3F5B"/>
    <w:rsid w:val="008D4CB9"/>
    <w:rsid w:val="008D4CEF"/>
    <w:rsid w:val="008D65E9"/>
    <w:rsid w:val="008D78C7"/>
    <w:rsid w:val="008D79E3"/>
    <w:rsid w:val="008D7A37"/>
    <w:rsid w:val="008E146E"/>
    <w:rsid w:val="008E3497"/>
    <w:rsid w:val="008E4D02"/>
    <w:rsid w:val="008E5D71"/>
    <w:rsid w:val="008F14B9"/>
    <w:rsid w:val="008F1F9C"/>
    <w:rsid w:val="008F29C9"/>
    <w:rsid w:val="008F4705"/>
    <w:rsid w:val="008F4B2B"/>
    <w:rsid w:val="008F50F1"/>
    <w:rsid w:val="008F55B9"/>
    <w:rsid w:val="008F5BE2"/>
    <w:rsid w:val="008F6B5C"/>
    <w:rsid w:val="008F6DFF"/>
    <w:rsid w:val="00900220"/>
    <w:rsid w:val="00900301"/>
    <w:rsid w:val="009008B7"/>
    <w:rsid w:val="00904B5F"/>
    <w:rsid w:val="009069CA"/>
    <w:rsid w:val="009070F8"/>
    <w:rsid w:val="009077FA"/>
    <w:rsid w:val="009106CD"/>
    <w:rsid w:val="009108B2"/>
    <w:rsid w:val="0091138C"/>
    <w:rsid w:val="00911AE7"/>
    <w:rsid w:val="00913B48"/>
    <w:rsid w:val="009143B6"/>
    <w:rsid w:val="0091442C"/>
    <w:rsid w:val="00914F7C"/>
    <w:rsid w:val="0091510A"/>
    <w:rsid w:val="009160A3"/>
    <w:rsid w:val="00917A7A"/>
    <w:rsid w:val="00917CE6"/>
    <w:rsid w:val="00920854"/>
    <w:rsid w:val="00920CF8"/>
    <w:rsid w:val="0092219B"/>
    <w:rsid w:val="0092319C"/>
    <w:rsid w:val="009249F7"/>
    <w:rsid w:val="00925B80"/>
    <w:rsid w:val="0092638C"/>
    <w:rsid w:val="00930179"/>
    <w:rsid w:val="009301B7"/>
    <w:rsid w:val="00930E1C"/>
    <w:rsid w:val="00931DDB"/>
    <w:rsid w:val="0093308E"/>
    <w:rsid w:val="009343FE"/>
    <w:rsid w:val="00940091"/>
    <w:rsid w:val="00941B1D"/>
    <w:rsid w:val="00942231"/>
    <w:rsid w:val="00942896"/>
    <w:rsid w:val="00942931"/>
    <w:rsid w:val="00943D32"/>
    <w:rsid w:val="00945570"/>
    <w:rsid w:val="00945AD7"/>
    <w:rsid w:val="0094615F"/>
    <w:rsid w:val="009526DF"/>
    <w:rsid w:val="0095458B"/>
    <w:rsid w:val="0095470F"/>
    <w:rsid w:val="009549DD"/>
    <w:rsid w:val="00955565"/>
    <w:rsid w:val="00957F99"/>
    <w:rsid w:val="00960121"/>
    <w:rsid w:val="00960156"/>
    <w:rsid w:val="009614C9"/>
    <w:rsid w:val="00962075"/>
    <w:rsid w:val="009623D0"/>
    <w:rsid w:val="00962672"/>
    <w:rsid w:val="00962C2A"/>
    <w:rsid w:val="009642BC"/>
    <w:rsid w:val="0096640A"/>
    <w:rsid w:val="00972461"/>
    <w:rsid w:val="009744A6"/>
    <w:rsid w:val="009756AE"/>
    <w:rsid w:val="009802D4"/>
    <w:rsid w:val="00980AC0"/>
    <w:rsid w:val="00982F7D"/>
    <w:rsid w:val="00983631"/>
    <w:rsid w:val="00983929"/>
    <w:rsid w:val="00984336"/>
    <w:rsid w:val="00984AD9"/>
    <w:rsid w:val="00985AAF"/>
    <w:rsid w:val="00987836"/>
    <w:rsid w:val="00991FA0"/>
    <w:rsid w:val="009932C9"/>
    <w:rsid w:val="00996DAF"/>
    <w:rsid w:val="009A3101"/>
    <w:rsid w:val="009A3588"/>
    <w:rsid w:val="009A6177"/>
    <w:rsid w:val="009A6A84"/>
    <w:rsid w:val="009A7D57"/>
    <w:rsid w:val="009B0236"/>
    <w:rsid w:val="009B0490"/>
    <w:rsid w:val="009B08EB"/>
    <w:rsid w:val="009B0CC1"/>
    <w:rsid w:val="009B17D0"/>
    <w:rsid w:val="009B1DCA"/>
    <w:rsid w:val="009B2735"/>
    <w:rsid w:val="009B2A51"/>
    <w:rsid w:val="009B5B40"/>
    <w:rsid w:val="009B5F19"/>
    <w:rsid w:val="009B6A5E"/>
    <w:rsid w:val="009B7089"/>
    <w:rsid w:val="009C18DE"/>
    <w:rsid w:val="009C6550"/>
    <w:rsid w:val="009C7078"/>
    <w:rsid w:val="009D177B"/>
    <w:rsid w:val="009D1AFE"/>
    <w:rsid w:val="009D3152"/>
    <w:rsid w:val="009D3292"/>
    <w:rsid w:val="009D3477"/>
    <w:rsid w:val="009D4BCB"/>
    <w:rsid w:val="009D4DCC"/>
    <w:rsid w:val="009D50E5"/>
    <w:rsid w:val="009D53FB"/>
    <w:rsid w:val="009D61F3"/>
    <w:rsid w:val="009D7C16"/>
    <w:rsid w:val="009E0B62"/>
    <w:rsid w:val="009E408C"/>
    <w:rsid w:val="009E417A"/>
    <w:rsid w:val="009E5CE4"/>
    <w:rsid w:val="009E655B"/>
    <w:rsid w:val="009F1839"/>
    <w:rsid w:val="009F1C8A"/>
    <w:rsid w:val="009F1D0B"/>
    <w:rsid w:val="009F2421"/>
    <w:rsid w:val="009F4242"/>
    <w:rsid w:val="009F4BC3"/>
    <w:rsid w:val="009F5C4A"/>
    <w:rsid w:val="009F65A1"/>
    <w:rsid w:val="009F6D10"/>
    <w:rsid w:val="009F6D4C"/>
    <w:rsid w:val="009F7D14"/>
    <w:rsid w:val="00A00BB2"/>
    <w:rsid w:val="00A00DAC"/>
    <w:rsid w:val="00A01C3A"/>
    <w:rsid w:val="00A058BA"/>
    <w:rsid w:val="00A0643C"/>
    <w:rsid w:val="00A06588"/>
    <w:rsid w:val="00A12437"/>
    <w:rsid w:val="00A14DAD"/>
    <w:rsid w:val="00A15AA0"/>
    <w:rsid w:val="00A167CE"/>
    <w:rsid w:val="00A2115D"/>
    <w:rsid w:val="00A215E2"/>
    <w:rsid w:val="00A221EC"/>
    <w:rsid w:val="00A2233D"/>
    <w:rsid w:val="00A234D6"/>
    <w:rsid w:val="00A23BC7"/>
    <w:rsid w:val="00A24DFE"/>
    <w:rsid w:val="00A26336"/>
    <w:rsid w:val="00A27431"/>
    <w:rsid w:val="00A277A6"/>
    <w:rsid w:val="00A31E31"/>
    <w:rsid w:val="00A32A5B"/>
    <w:rsid w:val="00A3743E"/>
    <w:rsid w:val="00A37DE2"/>
    <w:rsid w:val="00A40C61"/>
    <w:rsid w:val="00A438CC"/>
    <w:rsid w:val="00A43AC3"/>
    <w:rsid w:val="00A44387"/>
    <w:rsid w:val="00A45176"/>
    <w:rsid w:val="00A45572"/>
    <w:rsid w:val="00A46AAF"/>
    <w:rsid w:val="00A4758A"/>
    <w:rsid w:val="00A50264"/>
    <w:rsid w:val="00A51975"/>
    <w:rsid w:val="00A537AB"/>
    <w:rsid w:val="00A54636"/>
    <w:rsid w:val="00A54F01"/>
    <w:rsid w:val="00A561DD"/>
    <w:rsid w:val="00A562FB"/>
    <w:rsid w:val="00A57956"/>
    <w:rsid w:val="00A57E86"/>
    <w:rsid w:val="00A6325C"/>
    <w:rsid w:val="00A6388C"/>
    <w:rsid w:val="00A63B33"/>
    <w:rsid w:val="00A653C1"/>
    <w:rsid w:val="00A65CF7"/>
    <w:rsid w:val="00A665A5"/>
    <w:rsid w:val="00A70BB8"/>
    <w:rsid w:val="00A70CB2"/>
    <w:rsid w:val="00A7161B"/>
    <w:rsid w:val="00A723F3"/>
    <w:rsid w:val="00A7429D"/>
    <w:rsid w:val="00A75433"/>
    <w:rsid w:val="00A75C78"/>
    <w:rsid w:val="00A75F6E"/>
    <w:rsid w:val="00A765F2"/>
    <w:rsid w:val="00A803D4"/>
    <w:rsid w:val="00A80B85"/>
    <w:rsid w:val="00A82138"/>
    <w:rsid w:val="00A84AD0"/>
    <w:rsid w:val="00A84B44"/>
    <w:rsid w:val="00A84F6E"/>
    <w:rsid w:val="00A85A70"/>
    <w:rsid w:val="00A85D9A"/>
    <w:rsid w:val="00A869CE"/>
    <w:rsid w:val="00A87C18"/>
    <w:rsid w:val="00A91220"/>
    <w:rsid w:val="00A92449"/>
    <w:rsid w:val="00A934F7"/>
    <w:rsid w:val="00A945B6"/>
    <w:rsid w:val="00A9462C"/>
    <w:rsid w:val="00A94DB8"/>
    <w:rsid w:val="00A95281"/>
    <w:rsid w:val="00A95B52"/>
    <w:rsid w:val="00A9608F"/>
    <w:rsid w:val="00A96A4B"/>
    <w:rsid w:val="00AA023C"/>
    <w:rsid w:val="00AA1F37"/>
    <w:rsid w:val="00AA4B49"/>
    <w:rsid w:val="00AA514C"/>
    <w:rsid w:val="00AA6671"/>
    <w:rsid w:val="00AA6687"/>
    <w:rsid w:val="00AA7DDD"/>
    <w:rsid w:val="00AB0365"/>
    <w:rsid w:val="00AB2D10"/>
    <w:rsid w:val="00AB3561"/>
    <w:rsid w:val="00AB38F9"/>
    <w:rsid w:val="00AB3C12"/>
    <w:rsid w:val="00AB5B35"/>
    <w:rsid w:val="00AB7C78"/>
    <w:rsid w:val="00AC0279"/>
    <w:rsid w:val="00AC04C6"/>
    <w:rsid w:val="00AC0737"/>
    <w:rsid w:val="00AC115E"/>
    <w:rsid w:val="00AC2C4F"/>
    <w:rsid w:val="00AC39CD"/>
    <w:rsid w:val="00AC3B22"/>
    <w:rsid w:val="00AC529B"/>
    <w:rsid w:val="00AD2959"/>
    <w:rsid w:val="00AD2DB4"/>
    <w:rsid w:val="00AD2DD4"/>
    <w:rsid w:val="00AD31EB"/>
    <w:rsid w:val="00AD3EB2"/>
    <w:rsid w:val="00AE06FB"/>
    <w:rsid w:val="00AE1A17"/>
    <w:rsid w:val="00AE237B"/>
    <w:rsid w:val="00AE336F"/>
    <w:rsid w:val="00AE626A"/>
    <w:rsid w:val="00AE6988"/>
    <w:rsid w:val="00AE6D2F"/>
    <w:rsid w:val="00AE70EC"/>
    <w:rsid w:val="00AE7B1F"/>
    <w:rsid w:val="00AF1BA1"/>
    <w:rsid w:val="00AF2C0C"/>
    <w:rsid w:val="00AF4BC7"/>
    <w:rsid w:val="00B01ACF"/>
    <w:rsid w:val="00B04C48"/>
    <w:rsid w:val="00B05285"/>
    <w:rsid w:val="00B10490"/>
    <w:rsid w:val="00B10695"/>
    <w:rsid w:val="00B10897"/>
    <w:rsid w:val="00B10C9B"/>
    <w:rsid w:val="00B13701"/>
    <w:rsid w:val="00B13C9B"/>
    <w:rsid w:val="00B13EAC"/>
    <w:rsid w:val="00B14784"/>
    <w:rsid w:val="00B147F0"/>
    <w:rsid w:val="00B14CD9"/>
    <w:rsid w:val="00B14F6E"/>
    <w:rsid w:val="00B22EB8"/>
    <w:rsid w:val="00B2312D"/>
    <w:rsid w:val="00B23386"/>
    <w:rsid w:val="00B2365D"/>
    <w:rsid w:val="00B25F28"/>
    <w:rsid w:val="00B262F8"/>
    <w:rsid w:val="00B2676E"/>
    <w:rsid w:val="00B30ED4"/>
    <w:rsid w:val="00B33EEC"/>
    <w:rsid w:val="00B42F7F"/>
    <w:rsid w:val="00B4376A"/>
    <w:rsid w:val="00B4377D"/>
    <w:rsid w:val="00B437AB"/>
    <w:rsid w:val="00B46574"/>
    <w:rsid w:val="00B53E96"/>
    <w:rsid w:val="00B57664"/>
    <w:rsid w:val="00B576BB"/>
    <w:rsid w:val="00B60C24"/>
    <w:rsid w:val="00B6145D"/>
    <w:rsid w:val="00B62981"/>
    <w:rsid w:val="00B63210"/>
    <w:rsid w:val="00B6371C"/>
    <w:rsid w:val="00B64140"/>
    <w:rsid w:val="00B67DFE"/>
    <w:rsid w:val="00B72414"/>
    <w:rsid w:val="00B729E5"/>
    <w:rsid w:val="00B738EE"/>
    <w:rsid w:val="00B74E15"/>
    <w:rsid w:val="00B75BBB"/>
    <w:rsid w:val="00B76812"/>
    <w:rsid w:val="00B77C03"/>
    <w:rsid w:val="00B81D97"/>
    <w:rsid w:val="00B82766"/>
    <w:rsid w:val="00B8286B"/>
    <w:rsid w:val="00B83742"/>
    <w:rsid w:val="00B842A1"/>
    <w:rsid w:val="00B84AAF"/>
    <w:rsid w:val="00B84AF2"/>
    <w:rsid w:val="00B852B2"/>
    <w:rsid w:val="00B85EB5"/>
    <w:rsid w:val="00B85FB9"/>
    <w:rsid w:val="00B94236"/>
    <w:rsid w:val="00B944BC"/>
    <w:rsid w:val="00BA0D76"/>
    <w:rsid w:val="00BA169B"/>
    <w:rsid w:val="00BA1AD8"/>
    <w:rsid w:val="00BA27D4"/>
    <w:rsid w:val="00BA54D9"/>
    <w:rsid w:val="00BA5A3E"/>
    <w:rsid w:val="00BA6071"/>
    <w:rsid w:val="00BA6B43"/>
    <w:rsid w:val="00BA7325"/>
    <w:rsid w:val="00BB1B3D"/>
    <w:rsid w:val="00BB1B5B"/>
    <w:rsid w:val="00BB26CB"/>
    <w:rsid w:val="00BB3293"/>
    <w:rsid w:val="00BB3D7E"/>
    <w:rsid w:val="00BB4742"/>
    <w:rsid w:val="00BB78A9"/>
    <w:rsid w:val="00BB7E9E"/>
    <w:rsid w:val="00BC15C0"/>
    <w:rsid w:val="00BC1BCC"/>
    <w:rsid w:val="00BC1DA7"/>
    <w:rsid w:val="00BC206F"/>
    <w:rsid w:val="00BC21D8"/>
    <w:rsid w:val="00BC2DAB"/>
    <w:rsid w:val="00BC4648"/>
    <w:rsid w:val="00BC4D7E"/>
    <w:rsid w:val="00BC651D"/>
    <w:rsid w:val="00BC6E7C"/>
    <w:rsid w:val="00BC6EE8"/>
    <w:rsid w:val="00BD0250"/>
    <w:rsid w:val="00BD1749"/>
    <w:rsid w:val="00BD2E48"/>
    <w:rsid w:val="00BD3963"/>
    <w:rsid w:val="00BD45C9"/>
    <w:rsid w:val="00BD4EAD"/>
    <w:rsid w:val="00BD506D"/>
    <w:rsid w:val="00BD67F1"/>
    <w:rsid w:val="00BE1475"/>
    <w:rsid w:val="00BE1939"/>
    <w:rsid w:val="00BE3FB7"/>
    <w:rsid w:val="00BE4990"/>
    <w:rsid w:val="00BE73D5"/>
    <w:rsid w:val="00BE7D9B"/>
    <w:rsid w:val="00BE7E74"/>
    <w:rsid w:val="00BF06D5"/>
    <w:rsid w:val="00BF195D"/>
    <w:rsid w:val="00BF1F02"/>
    <w:rsid w:val="00BF21B2"/>
    <w:rsid w:val="00BF2C26"/>
    <w:rsid w:val="00BF5918"/>
    <w:rsid w:val="00BF6405"/>
    <w:rsid w:val="00C00828"/>
    <w:rsid w:val="00C011C6"/>
    <w:rsid w:val="00C01302"/>
    <w:rsid w:val="00C02B88"/>
    <w:rsid w:val="00C03190"/>
    <w:rsid w:val="00C040A4"/>
    <w:rsid w:val="00C04E7C"/>
    <w:rsid w:val="00C05605"/>
    <w:rsid w:val="00C05BD6"/>
    <w:rsid w:val="00C06422"/>
    <w:rsid w:val="00C076E7"/>
    <w:rsid w:val="00C07C2A"/>
    <w:rsid w:val="00C07D8F"/>
    <w:rsid w:val="00C07F02"/>
    <w:rsid w:val="00C107D6"/>
    <w:rsid w:val="00C11107"/>
    <w:rsid w:val="00C11119"/>
    <w:rsid w:val="00C12E7A"/>
    <w:rsid w:val="00C12ED5"/>
    <w:rsid w:val="00C135D2"/>
    <w:rsid w:val="00C14A8B"/>
    <w:rsid w:val="00C151EA"/>
    <w:rsid w:val="00C1736D"/>
    <w:rsid w:val="00C1794E"/>
    <w:rsid w:val="00C179E0"/>
    <w:rsid w:val="00C17E90"/>
    <w:rsid w:val="00C225E9"/>
    <w:rsid w:val="00C23F4A"/>
    <w:rsid w:val="00C258AA"/>
    <w:rsid w:val="00C30595"/>
    <w:rsid w:val="00C32601"/>
    <w:rsid w:val="00C32E36"/>
    <w:rsid w:val="00C34CB6"/>
    <w:rsid w:val="00C4010E"/>
    <w:rsid w:val="00C42226"/>
    <w:rsid w:val="00C43C4E"/>
    <w:rsid w:val="00C4579E"/>
    <w:rsid w:val="00C503BF"/>
    <w:rsid w:val="00C512B8"/>
    <w:rsid w:val="00C51471"/>
    <w:rsid w:val="00C5354E"/>
    <w:rsid w:val="00C54095"/>
    <w:rsid w:val="00C555C5"/>
    <w:rsid w:val="00C56BD1"/>
    <w:rsid w:val="00C604E7"/>
    <w:rsid w:val="00C60C6F"/>
    <w:rsid w:val="00C61CBE"/>
    <w:rsid w:val="00C63F13"/>
    <w:rsid w:val="00C70156"/>
    <w:rsid w:val="00C7092C"/>
    <w:rsid w:val="00C714AD"/>
    <w:rsid w:val="00C73CD3"/>
    <w:rsid w:val="00C75FE3"/>
    <w:rsid w:val="00C767B5"/>
    <w:rsid w:val="00C76DC5"/>
    <w:rsid w:val="00C80725"/>
    <w:rsid w:val="00C80F7B"/>
    <w:rsid w:val="00C823DF"/>
    <w:rsid w:val="00C82F6A"/>
    <w:rsid w:val="00C839FD"/>
    <w:rsid w:val="00C853C6"/>
    <w:rsid w:val="00C86C5A"/>
    <w:rsid w:val="00C86FB5"/>
    <w:rsid w:val="00C92154"/>
    <w:rsid w:val="00C92986"/>
    <w:rsid w:val="00C94936"/>
    <w:rsid w:val="00C9501C"/>
    <w:rsid w:val="00C9630F"/>
    <w:rsid w:val="00C9778A"/>
    <w:rsid w:val="00CA0007"/>
    <w:rsid w:val="00CA0CF3"/>
    <w:rsid w:val="00CA162C"/>
    <w:rsid w:val="00CA191E"/>
    <w:rsid w:val="00CA290D"/>
    <w:rsid w:val="00CA2EA4"/>
    <w:rsid w:val="00CA309C"/>
    <w:rsid w:val="00CA43D1"/>
    <w:rsid w:val="00CA5336"/>
    <w:rsid w:val="00CA7A54"/>
    <w:rsid w:val="00CB1D11"/>
    <w:rsid w:val="00CB1EC7"/>
    <w:rsid w:val="00CB23FF"/>
    <w:rsid w:val="00CB4227"/>
    <w:rsid w:val="00CB4CF0"/>
    <w:rsid w:val="00CB51D6"/>
    <w:rsid w:val="00CB630B"/>
    <w:rsid w:val="00CB792E"/>
    <w:rsid w:val="00CC03A9"/>
    <w:rsid w:val="00CC1C46"/>
    <w:rsid w:val="00CC1F2A"/>
    <w:rsid w:val="00CC1F3D"/>
    <w:rsid w:val="00CC33D3"/>
    <w:rsid w:val="00CC3D12"/>
    <w:rsid w:val="00CC527D"/>
    <w:rsid w:val="00CC75DE"/>
    <w:rsid w:val="00CD0112"/>
    <w:rsid w:val="00CD0FB2"/>
    <w:rsid w:val="00CD1414"/>
    <w:rsid w:val="00CD15BA"/>
    <w:rsid w:val="00CD1FB3"/>
    <w:rsid w:val="00CD28AD"/>
    <w:rsid w:val="00CD3A87"/>
    <w:rsid w:val="00CD4150"/>
    <w:rsid w:val="00CD60CA"/>
    <w:rsid w:val="00CE2A07"/>
    <w:rsid w:val="00CE2C18"/>
    <w:rsid w:val="00CE387E"/>
    <w:rsid w:val="00CE46E7"/>
    <w:rsid w:val="00CE7D2B"/>
    <w:rsid w:val="00CF14FA"/>
    <w:rsid w:val="00CF5410"/>
    <w:rsid w:val="00D004A7"/>
    <w:rsid w:val="00D07238"/>
    <w:rsid w:val="00D074DE"/>
    <w:rsid w:val="00D1007D"/>
    <w:rsid w:val="00D11D57"/>
    <w:rsid w:val="00D13775"/>
    <w:rsid w:val="00D13899"/>
    <w:rsid w:val="00D138B3"/>
    <w:rsid w:val="00D17722"/>
    <w:rsid w:val="00D2035F"/>
    <w:rsid w:val="00D2409D"/>
    <w:rsid w:val="00D26D5F"/>
    <w:rsid w:val="00D30ABF"/>
    <w:rsid w:val="00D31A79"/>
    <w:rsid w:val="00D3236C"/>
    <w:rsid w:val="00D32ECA"/>
    <w:rsid w:val="00D33B55"/>
    <w:rsid w:val="00D34B56"/>
    <w:rsid w:val="00D354B6"/>
    <w:rsid w:val="00D41B24"/>
    <w:rsid w:val="00D42E64"/>
    <w:rsid w:val="00D430CF"/>
    <w:rsid w:val="00D5473D"/>
    <w:rsid w:val="00D57C54"/>
    <w:rsid w:val="00D6041F"/>
    <w:rsid w:val="00D61DC9"/>
    <w:rsid w:val="00D63B3F"/>
    <w:rsid w:val="00D646BC"/>
    <w:rsid w:val="00D649D3"/>
    <w:rsid w:val="00D67BA7"/>
    <w:rsid w:val="00D70B03"/>
    <w:rsid w:val="00D71139"/>
    <w:rsid w:val="00D71A5E"/>
    <w:rsid w:val="00D722E3"/>
    <w:rsid w:val="00D72533"/>
    <w:rsid w:val="00D72883"/>
    <w:rsid w:val="00D7483C"/>
    <w:rsid w:val="00D75C01"/>
    <w:rsid w:val="00D7793E"/>
    <w:rsid w:val="00D77EEE"/>
    <w:rsid w:val="00D835C7"/>
    <w:rsid w:val="00D838F2"/>
    <w:rsid w:val="00D83970"/>
    <w:rsid w:val="00D83AD0"/>
    <w:rsid w:val="00D84E62"/>
    <w:rsid w:val="00D84F99"/>
    <w:rsid w:val="00D84FD0"/>
    <w:rsid w:val="00D853A6"/>
    <w:rsid w:val="00D85429"/>
    <w:rsid w:val="00D85889"/>
    <w:rsid w:val="00D8595C"/>
    <w:rsid w:val="00D8702E"/>
    <w:rsid w:val="00D873C7"/>
    <w:rsid w:val="00D87470"/>
    <w:rsid w:val="00D87BA6"/>
    <w:rsid w:val="00D87BE0"/>
    <w:rsid w:val="00D903A0"/>
    <w:rsid w:val="00D90B5B"/>
    <w:rsid w:val="00D9360F"/>
    <w:rsid w:val="00D9448C"/>
    <w:rsid w:val="00D94550"/>
    <w:rsid w:val="00D94DCC"/>
    <w:rsid w:val="00D9597C"/>
    <w:rsid w:val="00DA0D6A"/>
    <w:rsid w:val="00DA1438"/>
    <w:rsid w:val="00DA19A2"/>
    <w:rsid w:val="00DA596C"/>
    <w:rsid w:val="00DA66F1"/>
    <w:rsid w:val="00DB1164"/>
    <w:rsid w:val="00DB2BB7"/>
    <w:rsid w:val="00DB4506"/>
    <w:rsid w:val="00DB55C3"/>
    <w:rsid w:val="00DB7089"/>
    <w:rsid w:val="00DB7CF4"/>
    <w:rsid w:val="00DB7FC7"/>
    <w:rsid w:val="00DC1089"/>
    <w:rsid w:val="00DC3CE5"/>
    <w:rsid w:val="00DC4BA1"/>
    <w:rsid w:val="00DC558A"/>
    <w:rsid w:val="00DC5E9F"/>
    <w:rsid w:val="00DC6652"/>
    <w:rsid w:val="00DC720D"/>
    <w:rsid w:val="00DD1802"/>
    <w:rsid w:val="00DD285D"/>
    <w:rsid w:val="00DD476F"/>
    <w:rsid w:val="00DD4A23"/>
    <w:rsid w:val="00DD522D"/>
    <w:rsid w:val="00DD64C1"/>
    <w:rsid w:val="00DD666F"/>
    <w:rsid w:val="00DD667C"/>
    <w:rsid w:val="00DD68A5"/>
    <w:rsid w:val="00DD71E4"/>
    <w:rsid w:val="00DE282E"/>
    <w:rsid w:val="00DE3987"/>
    <w:rsid w:val="00DE490C"/>
    <w:rsid w:val="00DE5A23"/>
    <w:rsid w:val="00DE5EC4"/>
    <w:rsid w:val="00DE7AF0"/>
    <w:rsid w:val="00DF1783"/>
    <w:rsid w:val="00DF28A6"/>
    <w:rsid w:val="00DF29D0"/>
    <w:rsid w:val="00DF2BD6"/>
    <w:rsid w:val="00DF37E7"/>
    <w:rsid w:val="00DF38E5"/>
    <w:rsid w:val="00DF4D68"/>
    <w:rsid w:val="00DF6FC9"/>
    <w:rsid w:val="00DF71AD"/>
    <w:rsid w:val="00E00A18"/>
    <w:rsid w:val="00E01429"/>
    <w:rsid w:val="00E028F3"/>
    <w:rsid w:val="00E0308E"/>
    <w:rsid w:val="00E03F36"/>
    <w:rsid w:val="00E05B41"/>
    <w:rsid w:val="00E107D7"/>
    <w:rsid w:val="00E1216F"/>
    <w:rsid w:val="00E1276D"/>
    <w:rsid w:val="00E14E2C"/>
    <w:rsid w:val="00E14E87"/>
    <w:rsid w:val="00E15570"/>
    <w:rsid w:val="00E21C33"/>
    <w:rsid w:val="00E22111"/>
    <w:rsid w:val="00E26A97"/>
    <w:rsid w:val="00E26DF8"/>
    <w:rsid w:val="00E30307"/>
    <w:rsid w:val="00E30661"/>
    <w:rsid w:val="00E322DE"/>
    <w:rsid w:val="00E3273E"/>
    <w:rsid w:val="00E32884"/>
    <w:rsid w:val="00E36437"/>
    <w:rsid w:val="00E366D8"/>
    <w:rsid w:val="00E36F98"/>
    <w:rsid w:val="00E4030D"/>
    <w:rsid w:val="00E43240"/>
    <w:rsid w:val="00E4365E"/>
    <w:rsid w:val="00E43980"/>
    <w:rsid w:val="00E45310"/>
    <w:rsid w:val="00E469B7"/>
    <w:rsid w:val="00E508ED"/>
    <w:rsid w:val="00E51B50"/>
    <w:rsid w:val="00E5352D"/>
    <w:rsid w:val="00E53793"/>
    <w:rsid w:val="00E53FAE"/>
    <w:rsid w:val="00E54672"/>
    <w:rsid w:val="00E549F2"/>
    <w:rsid w:val="00E55736"/>
    <w:rsid w:val="00E5610E"/>
    <w:rsid w:val="00E563B4"/>
    <w:rsid w:val="00E60110"/>
    <w:rsid w:val="00E6235F"/>
    <w:rsid w:val="00E62E06"/>
    <w:rsid w:val="00E636C1"/>
    <w:rsid w:val="00E654B6"/>
    <w:rsid w:val="00E66516"/>
    <w:rsid w:val="00E667F8"/>
    <w:rsid w:val="00E70214"/>
    <w:rsid w:val="00E716EF"/>
    <w:rsid w:val="00E72407"/>
    <w:rsid w:val="00E730CE"/>
    <w:rsid w:val="00E739EB"/>
    <w:rsid w:val="00E73D45"/>
    <w:rsid w:val="00E750A9"/>
    <w:rsid w:val="00E76E1A"/>
    <w:rsid w:val="00E82745"/>
    <w:rsid w:val="00E846FB"/>
    <w:rsid w:val="00E902D2"/>
    <w:rsid w:val="00E920B1"/>
    <w:rsid w:val="00E92B35"/>
    <w:rsid w:val="00E95015"/>
    <w:rsid w:val="00E96388"/>
    <w:rsid w:val="00E963C3"/>
    <w:rsid w:val="00E96AF5"/>
    <w:rsid w:val="00E96C23"/>
    <w:rsid w:val="00E97A9B"/>
    <w:rsid w:val="00E97B02"/>
    <w:rsid w:val="00EA2E0F"/>
    <w:rsid w:val="00EA401C"/>
    <w:rsid w:val="00EA4F63"/>
    <w:rsid w:val="00EA50BA"/>
    <w:rsid w:val="00EA6FD4"/>
    <w:rsid w:val="00EA749D"/>
    <w:rsid w:val="00EB0B4E"/>
    <w:rsid w:val="00EB0D8F"/>
    <w:rsid w:val="00EB0DF8"/>
    <w:rsid w:val="00EB43DB"/>
    <w:rsid w:val="00EB4CFB"/>
    <w:rsid w:val="00EB6020"/>
    <w:rsid w:val="00EC0486"/>
    <w:rsid w:val="00EC186C"/>
    <w:rsid w:val="00EC1F53"/>
    <w:rsid w:val="00EC2E02"/>
    <w:rsid w:val="00EC632B"/>
    <w:rsid w:val="00EC63CF"/>
    <w:rsid w:val="00EC6E04"/>
    <w:rsid w:val="00EC709C"/>
    <w:rsid w:val="00ED1178"/>
    <w:rsid w:val="00ED15E8"/>
    <w:rsid w:val="00ED19BB"/>
    <w:rsid w:val="00ED1BDE"/>
    <w:rsid w:val="00ED1DAB"/>
    <w:rsid w:val="00ED4727"/>
    <w:rsid w:val="00ED50EB"/>
    <w:rsid w:val="00ED5D4A"/>
    <w:rsid w:val="00ED7F7D"/>
    <w:rsid w:val="00EE0271"/>
    <w:rsid w:val="00EE0410"/>
    <w:rsid w:val="00EE0708"/>
    <w:rsid w:val="00EE4672"/>
    <w:rsid w:val="00EE4F35"/>
    <w:rsid w:val="00EE607A"/>
    <w:rsid w:val="00EE665D"/>
    <w:rsid w:val="00EF1E28"/>
    <w:rsid w:val="00EF22A4"/>
    <w:rsid w:val="00EF24B0"/>
    <w:rsid w:val="00EF33CB"/>
    <w:rsid w:val="00EF3B35"/>
    <w:rsid w:val="00EF4B86"/>
    <w:rsid w:val="00EF535A"/>
    <w:rsid w:val="00EF7178"/>
    <w:rsid w:val="00F014CB"/>
    <w:rsid w:val="00F021A8"/>
    <w:rsid w:val="00F07F32"/>
    <w:rsid w:val="00F13132"/>
    <w:rsid w:val="00F1420C"/>
    <w:rsid w:val="00F15DE8"/>
    <w:rsid w:val="00F16341"/>
    <w:rsid w:val="00F16E3F"/>
    <w:rsid w:val="00F20347"/>
    <w:rsid w:val="00F21AB6"/>
    <w:rsid w:val="00F22C1A"/>
    <w:rsid w:val="00F24E41"/>
    <w:rsid w:val="00F25D84"/>
    <w:rsid w:val="00F31047"/>
    <w:rsid w:val="00F31424"/>
    <w:rsid w:val="00F31A00"/>
    <w:rsid w:val="00F32378"/>
    <w:rsid w:val="00F32975"/>
    <w:rsid w:val="00F35F66"/>
    <w:rsid w:val="00F36F22"/>
    <w:rsid w:val="00F372A5"/>
    <w:rsid w:val="00F37E0F"/>
    <w:rsid w:val="00F37EBF"/>
    <w:rsid w:val="00F41AC0"/>
    <w:rsid w:val="00F427AF"/>
    <w:rsid w:val="00F42F54"/>
    <w:rsid w:val="00F453D9"/>
    <w:rsid w:val="00F46D3F"/>
    <w:rsid w:val="00F47289"/>
    <w:rsid w:val="00F50A13"/>
    <w:rsid w:val="00F511F7"/>
    <w:rsid w:val="00F54BD8"/>
    <w:rsid w:val="00F5585E"/>
    <w:rsid w:val="00F56F6D"/>
    <w:rsid w:val="00F57A8A"/>
    <w:rsid w:val="00F60FBF"/>
    <w:rsid w:val="00F60FF6"/>
    <w:rsid w:val="00F61BCA"/>
    <w:rsid w:val="00F6369C"/>
    <w:rsid w:val="00F6528F"/>
    <w:rsid w:val="00F654B8"/>
    <w:rsid w:val="00F65ACE"/>
    <w:rsid w:val="00F664B6"/>
    <w:rsid w:val="00F70981"/>
    <w:rsid w:val="00F70E53"/>
    <w:rsid w:val="00F71F6A"/>
    <w:rsid w:val="00F73500"/>
    <w:rsid w:val="00F74065"/>
    <w:rsid w:val="00F7489E"/>
    <w:rsid w:val="00F75441"/>
    <w:rsid w:val="00F77589"/>
    <w:rsid w:val="00F80FAE"/>
    <w:rsid w:val="00F81DE8"/>
    <w:rsid w:val="00F8213C"/>
    <w:rsid w:val="00F85A15"/>
    <w:rsid w:val="00F85C70"/>
    <w:rsid w:val="00F91C8A"/>
    <w:rsid w:val="00F923ED"/>
    <w:rsid w:val="00F92EC8"/>
    <w:rsid w:val="00F9334A"/>
    <w:rsid w:val="00F94180"/>
    <w:rsid w:val="00F95863"/>
    <w:rsid w:val="00F96687"/>
    <w:rsid w:val="00F96FF8"/>
    <w:rsid w:val="00FA0562"/>
    <w:rsid w:val="00FA121C"/>
    <w:rsid w:val="00FA2DC1"/>
    <w:rsid w:val="00FA41BE"/>
    <w:rsid w:val="00FA4360"/>
    <w:rsid w:val="00FA5ECC"/>
    <w:rsid w:val="00FA6862"/>
    <w:rsid w:val="00FA7AD9"/>
    <w:rsid w:val="00FA7BF7"/>
    <w:rsid w:val="00FB011B"/>
    <w:rsid w:val="00FB1962"/>
    <w:rsid w:val="00FB20F3"/>
    <w:rsid w:val="00FB4663"/>
    <w:rsid w:val="00FB4893"/>
    <w:rsid w:val="00FB671E"/>
    <w:rsid w:val="00FB7822"/>
    <w:rsid w:val="00FC1307"/>
    <w:rsid w:val="00FC45D6"/>
    <w:rsid w:val="00FC4DCD"/>
    <w:rsid w:val="00FC5D23"/>
    <w:rsid w:val="00FD5238"/>
    <w:rsid w:val="00FD5F4D"/>
    <w:rsid w:val="00FE01A1"/>
    <w:rsid w:val="00FE1410"/>
    <w:rsid w:val="00FE3EFB"/>
    <w:rsid w:val="00FE461B"/>
    <w:rsid w:val="00FE6643"/>
    <w:rsid w:val="00FF09C2"/>
    <w:rsid w:val="00FF106E"/>
    <w:rsid w:val="00FF20ED"/>
    <w:rsid w:val="00FF3971"/>
    <w:rsid w:val="00FF46BF"/>
    <w:rsid w:val="00FF644C"/>
    <w:rsid w:val="00FF6F8F"/>
    <w:rsid w:val="00FF6F95"/>
    <w:rsid w:val="00FF79F0"/>
    <w:rsid w:val="03399FB2"/>
    <w:rsid w:val="033B9E8E"/>
    <w:rsid w:val="05C9119E"/>
    <w:rsid w:val="06A5CE3F"/>
    <w:rsid w:val="0802D7A4"/>
    <w:rsid w:val="08265C2B"/>
    <w:rsid w:val="08337CC4"/>
    <w:rsid w:val="0A283247"/>
    <w:rsid w:val="0DD25F8E"/>
    <w:rsid w:val="0E7B4581"/>
    <w:rsid w:val="1029B8E0"/>
    <w:rsid w:val="11A14484"/>
    <w:rsid w:val="1279A490"/>
    <w:rsid w:val="149514AC"/>
    <w:rsid w:val="1620B858"/>
    <w:rsid w:val="1645E5D7"/>
    <w:rsid w:val="19729E7D"/>
    <w:rsid w:val="1A1E623B"/>
    <w:rsid w:val="1AE603E8"/>
    <w:rsid w:val="1B25616B"/>
    <w:rsid w:val="1C3F8F11"/>
    <w:rsid w:val="1C509730"/>
    <w:rsid w:val="1C6A7BD5"/>
    <w:rsid w:val="1FC43E2A"/>
    <w:rsid w:val="207EF7BF"/>
    <w:rsid w:val="210ADFF6"/>
    <w:rsid w:val="24C923C3"/>
    <w:rsid w:val="24E32023"/>
    <w:rsid w:val="259E59EF"/>
    <w:rsid w:val="25B22246"/>
    <w:rsid w:val="28ABD0C7"/>
    <w:rsid w:val="2915F1DB"/>
    <w:rsid w:val="299900B9"/>
    <w:rsid w:val="2A65B16C"/>
    <w:rsid w:val="2C3C77EF"/>
    <w:rsid w:val="302B2151"/>
    <w:rsid w:val="31B5A56B"/>
    <w:rsid w:val="31FDD62C"/>
    <w:rsid w:val="34614D89"/>
    <w:rsid w:val="34A9DE1A"/>
    <w:rsid w:val="3653BBEC"/>
    <w:rsid w:val="37293679"/>
    <w:rsid w:val="3759C340"/>
    <w:rsid w:val="3BA2809C"/>
    <w:rsid w:val="3BE7C696"/>
    <w:rsid w:val="3C957A28"/>
    <w:rsid w:val="3D6294C5"/>
    <w:rsid w:val="3D972487"/>
    <w:rsid w:val="3FE3FCC8"/>
    <w:rsid w:val="42AF322E"/>
    <w:rsid w:val="43174CCA"/>
    <w:rsid w:val="441AAF63"/>
    <w:rsid w:val="45AA2F71"/>
    <w:rsid w:val="46E22AFD"/>
    <w:rsid w:val="489B9CC6"/>
    <w:rsid w:val="48C27322"/>
    <w:rsid w:val="49010A9E"/>
    <w:rsid w:val="4B567839"/>
    <w:rsid w:val="4C1055CA"/>
    <w:rsid w:val="4D3EF859"/>
    <w:rsid w:val="4F4171C0"/>
    <w:rsid w:val="4FAD49CC"/>
    <w:rsid w:val="522FD370"/>
    <w:rsid w:val="560677D7"/>
    <w:rsid w:val="5700934A"/>
    <w:rsid w:val="571FB068"/>
    <w:rsid w:val="57490614"/>
    <w:rsid w:val="575A6130"/>
    <w:rsid w:val="5935E78B"/>
    <w:rsid w:val="5B34298D"/>
    <w:rsid w:val="5B39B659"/>
    <w:rsid w:val="5C193CCD"/>
    <w:rsid w:val="5CC5CE9B"/>
    <w:rsid w:val="5D76EC3F"/>
    <w:rsid w:val="5DA6FA51"/>
    <w:rsid w:val="5DF32A53"/>
    <w:rsid w:val="5E0D395E"/>
    <w:rsid w:val="5F0E35B5"/>
    <w:rsid w:val="5F8A20B7"/>
    <w:rsid w:val="6001D984"/>
    <w:rsid w:val="616A22E2"/>
    <w:rsid w:val="61FCC9FC"/>
    <w:rsid w:val="64CFB9BF"/>
    <w:rsid w:val="66094D2D"/>
    <w:rsid w:val="663E40CE"/>
    <w:rsid w:val="6A2FBEA3"/>
    <w:rsid w:val="6A9A2AA1"/>
    <w:rsid w:val="6CAE4BB9"/>
    <w:rsid w:val="6D211C25"/>
    <w:rsid w:val="6DDCD148"/>
    <w:rsid w:val="6E10911C"/>
    <w:rsid w:val="6FE5EC7B"/>
    <w:rsid w:val="70464EB3"/>
    <w:rsid w:val="70A2BB5D"/>
    <w:rsid w:val="71400A9C"/>
    <w:rsid w:val="7181BCDC"/>
    <w:rsid w:val="73CEEA02"/>
    <w:rsid w:val="73EF6667"/>
    <w:rsid w:val="740367C4"/>
    <w:rsid w:val="744367AC"/>
    <w:rsid w:val="745FFDE6"/>
    <w:rsid w:val="75630B9B"/>
    <w:rsid w:val="77F0FE60"/>
    <w:rsid w:val="7A2C3808"/>
    <w:rsid w:val="7C422FB5"/>
    <w:rsid w:val="7DBFFE3E"/>
    <w:rsid w:val="7DF0A9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120A3"/>
  <w15:docId w15:val="{A3A45810-C5F6-47DB-BBAB-76287DCC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uiPriority w:val="39"/>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link w:val="CharChar6CharCharCharCharCharChar"/>
    <w:uiPriority w:val="99"/>
    <w:qFormat/>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qFormat/>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semiHidden/>
    <w:rsid w:val="00A277A6"/>
    <w:rPr>
      <w:sz w:val="16"/>
      <w:szCs w:val="16"/>
    </w:rPr>
  </w:style>
  <w:style w:type="paragraph" w:styleId="CommentText">
    <w:name w:val="annotation text"/>
    <w:basedOn w:val="Normal"/>
    <w:link w:val="CommentTextChar"/>
    <w:rsid w:val="00A277A6"/>
    <w:rPr>
      <w:sz w:val="20"/>
      <w:szCs w:val="20"/>
    </w:rPr>
  </w:style>
  <w:style w:type="character" w:customStyle="1" w:styleId="CommentTextChar">
    <w:name w:val="Comment Text Char"/>
    <w:basedOn w:val="DefaultParagraphFont"/>
    <w:link w:val="CommentText"/>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06698B"/>
    <w:pPr>
      <w:tabs>
        <w:tab w:val="center" w:pos="4513"/>
        <w:tab w:val="right" w:pos="9026"/>
      </w:tabs>
    </w:pPr>
  </w:style>
  <w:style w:type="character" w:customStyle="1" w:styleId="HeaderChar">
    <w:name w:val="Header Char"/>
    <w:basedOn w:val="DefaultParagraphFont"/>
    <w:link w:val="Header"/>
    <w:uiPriority w:val="99"/>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 w:type="character" w:customStyle="1" w:styleId="s11">
    <w:name w:val="s11"/>
    <w:basedOn w:val="DefaultParagraphFont"/>
    <w:rsid w:val="00B10C9B"/>
  </w:style>
  <w:style w:type="paragraph" w:customStyle="1" w:styleId="wordsection1">
    <w:name w:val="wordsection1"/>
    <w:basedOn w:val="Normal"/>
    <w:link w:val="wordsection1Char"/>
    <w:uiPriority w:val="99"/>
    <w:rsid w:val="00A765F2"/>
    <w:rPr>
      <w:rFonts w:eastAsiaTheme="minorHAnsi"/>
      <w:lang w:val="en-SG" w:eastAsia="ja-JP"/>
    </w:rPr>
  </w:style>
  <w:style w:type="character" w:customStyle="1" w:styleId="wordsection1Char">
    <w:name w:val="wordsection1 Char"/>
    <w:basedOn w:val="DefaultParagraphFont"/>
    <w:link w:val="wordsection1"/>
    <w:uiPriority w:val="99"/>
    <w:locked/>
    <w:rsid w:val="00A765F2"/>
    <w:rPr>
      <w:rFonts w:ascii="Times New Roman" w:eastAsiaTheme="minorHAnsi" w:hAnsi="Times New Roman"/>
      <w:sz w:val="24"/>
      <w:szCs w:val="24"/>
      <w:lang w:eastAsia="ja-JP"/>
    </w:rPr>
  </w:style>
  <w:style w:type="paragraph" w:customStyle="1" w:styleId="cTextList1">
    <w:name w:val="c. Text List 1"/>
    <w:basedOn w:val="Normal"/>
    <w:uiPriority w:val="99"/>
    <w:qFormat/>
    <w:rsid w:val="00B437AB"/>
    <w:pPr>
      <w:numPr>
        <w:numId w:val="3"/>
      </w:numPr>
      <w:tabs>
        <w:tab w:val="num" w:pos="360"/>
      </w:tabs>
      <w:spacing w:before="240"/>
      <w:ind w:left="0" w:firstLine="0"/>
      <w:jc w:val="both"/>
    </w:pPr>
    <w:rPr>
      <w:rFonts w:ascii="Arial" w:eastAsiaTheme="minorHAnsi" w:hAnsi="Arial" w:cs="Arial"/>
      <w:lang w:val="en-SG"/>
    </w:rPr>
  </w:style>
  <w:style w:type="paragraph" w:customStyle="1" w:styleId="CharChar6CharCharCharCharCharChar">
    <w:name w:val="Char Char6 Char Char Char Char Char Char"/>
    <w:aliases w:val="Char6 Char Char Char Char Char Char Char"/>
    <w:basedOn w:val="Normal"/>
    <w:link w:val="FootnoteReference"/>
    <w:uiPriority w:val="99"/>
    <w:rsid w:val="006C6932"/>
    <w:pPr>
      <w:spacing w:line="360" w:lineRule="auto"/>
      <w:jc w:val="center"/>
    </w:pPr>
    <w:rPr>
      <w:rFonts w:ascii="Calibri" w:eastAsia="SimSun" w:hAnsi="Calibri"/>
      <w:sz w:val="20"/>
      <w:szCs w:val="20"/>
      <w:vertAlign w:val="superscript"/>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34503001">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0e9ac558-c7df-44df-83a9-fb0c941bca6b">
      <UserInfo>
        <DisplayName>Pei Lin CHAN (MOF)</DisplayName>
        <AccountId>562</AccountId>
        <AccountType/>
      </UserInfo>
      <UserInfo>
        <DisplayName>Kenny YEOH (MOF)</DisplayName>
        <AccountId>563</AccountId>
        <AccountType/>
      </UserInfo>
      <UserInfo>
        <DisplayName>Si Ying TAN (MOF)</DisplayName>
        <AccountId>447</AccountId>
        <AccountType/>
      </UserInfo>
      <UserInfo>
        <DisplayName>Jasper WONG (MOF)</DisplayName>
        <AccountId>560</AccountId>
        <AccountType/>
      </UserInfo>
      <UserInfo>
        <DisplayName>Genevieve LEE (MOF)</DisplayName>
        <AccountId>561</AccountId>
        <AccountType/>
      </UserInfo>
      <UserInfo>
        <DisplayName>Sandra YONG (MOF)</DisplayName>
        <AccountId>608</AccountId>
        <AccountType/>
      </UserInfo>
      <UserInfo>
        <DisplayName>mofctg</DisplayName>
        <AccountId>668</AccountId>
        <AccountType/>
      </UserInfo>
      <UserInfo>
        <DisplayName>Farah ABDUL RAHIM (MOF)</DisplayName>
        <AccountId>670</AccountId>
        <AccountType/>
      </UserInfo>
      <UserInfo>
        <DisplayName>Doreen TAN (MOF)</DisplayName>
        <AccountId>511</AccountId>
        <AccountType/>
      </UserInfo>
      <UserInfo>
        <DisplayName>Louis NG (MOF)</DisplayName>
        <AccountId>602</AccountId>
        <AccountType/>
      </UserInfo>
      <UserInfo>
        <DisplayName>Wendy LEO (MOF)</DisplayName>
        <AccountId>573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5383-428D-46AF-BE61-2E1BD71E3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3.xml><?xml version="1.0" encoding="utf-8"?>
<ds:datastoreItem xmlns:ds="http://schemas.openxmlformats.org/officeDocument/2006/customXml" ds:itemID="{888614FD-4BD7-46E9-AF9F-8F330D6EEC37}">
  <ds:schemaRefs>
    <ds:schemaRef ds:uri="http://schemas.microsoft.com/office/2006/metadata/properties"/>
    <ds:schemaRef ds:uri="0e9ac558-c7df-44df-83a9-fb0c941bca6b"/>
  </ds:schemaRefs>
</ds:datastoreItem>
</file>

<file path=customXml/itemProps4.xml><?xml version="1.0" encoding="utf-8"?>
<ds:datastoreItem xmlns:ds="http://schemas.openxmlformats.org/officeDocument/2006/customXml" ds:itemID="{F7E4B1AD-88E5-4F07-964B-23A8E4D1DAF0}">
  <ds:schemaRefs>
    <ds:schemaRef ds:uri="http://schemas.openxmlformats.org/officeDocument/2006/bibliography"/>
  </ds:schemaRefs>
</ds:datastoreItem>
</file>

<file path=customXml/itemProps5.xml><?xml version="1.0" encoding="utf-8"?>
<ds:datastoreItem xmlns:ds="http://schemas.openxmlformats.org/officeDocument/2006/customXml" ds:itemID="{E37B2495-85B9-43CA-AD28-E33BFD58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3286</Words>
  <Characters>18731</Characters>
  <Application>Microsoft Office Word</Application>
  <DocSecurity>4</DocSecurity>
  <Lines>156</Lines>
  <Paragraphs>43</Paragraphs>
  <ScaleCrop>false</ScaleCrop>
  <Company>Singapore Government</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Ping TAN (MOF)</dc:creator>
  <cp:keywords/>
  <cp:lastModifiedBy>Adeline SIM (MOF)</cp:lastModifiedBy>
  <cp:revision>2</cp:revision>
  <cp:lastPrinted>2015-06-19T19:20:00Z</cp:lastPrinted>
  <dcterms:created xsi:type="dcterms:W3CDTF">2023-06-05T01:09:00Z</dcterms:created>
  <dcterms:modified xsi:type="dcterms:W3CDTF">2023-06-05T01:09:00Z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y fmtid="{D5CDD505-2E9C-101B-9397-08002B2CF9AE}" pid="3" name="MSIP_Label_4f288355-fb4c-44cd-b9ca-40cfc2aee5f8_Enabled">
    <vt:lpwstr>true</vt:lpwstr>
  </property>
  <property fmtid="{D5CDD505-2E9C-101B-9397-08002B2CF9AE}" pid="4" name="MSIP_Label_4f288355-fb4c-44cd-b9ca-40cfc2aee5f8_SetDate">
    <vt:lpwstr>2023-05-13T15:35:45Z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f9a612e8-613b-45b5-ab0a-bd8b484b5b94</vt:lpwstr>
  </property>
  <property fmtid="{D5CDD505-2E9C-101B-9397-08002B2CF9AE}" pid="9" name="MSIP_Label_4f288355-fb4c-44cd-b9ca-40cfc2aee5f8_ContentBits">
    <vt:lpwstr>0</vt:lpwstr>
  </property>
</Properties>
</file>