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69" w:rsidRDefault="00181369" w:rsidP="00181369">
      <w:pPr>
        <w:pStyle w:val="BodyText2"/>
        <w:spacing w:after="0" w:line="240" w:lineRule="auto"/>
        <w:jc w:val="center"/>
        <w:rPr>
          <w:b/>
          <w:sz w:val="24"/>
          <w:szCs w:val="24"/>
        </w:rPr>
      </w:pPr>
      <w:r w:rsidRPr="00350E71">
        <w:rPr>
          <w:b/>
          <w:sz w:val="24"/>
          <w:szCs w:val="24"/>
        </w:rPr>
        <w:t xml:space="preserve">SUMMARY </w:t>
      </w:r>
      <w:r>
        <w:rPr>
          <w:b/>
          <w:sz w:val="24"/>
          <w:szCs w:val="24"/>
        </w:rPr>
        <w:t>OF</w:t>
      </w:r>
      <w:r w:rsidRPr="00350E71">
        <w:rPr>
          <w:b/>
          <w:sz w:val="24"/>
          <w:szCs w:val="24"/>
        </w:rPr>
        <w:t xml:space="preserve"> </w:t>
      </w:r>
      <w:r>
        <w:rPr>
          <w:b/>
          <w:sz w:val="24"/>
          <w:szCs w:val="24"/>
        </w:rPr>
        <w:t>PROPOSED LEGISLATIVE AMENDMENTS ON THE CORPORATE INCOME TAX (“CIT”) TREATMENT OF VARIABLE CAPITAL COMPANIES (“VCCs”)</w:t>
      </w:r>
    </w:p>
    <w:p w:rsidR="00AD055E" w:rsidRDefault="00AD055E" w:rsidP="00AD055E">
      <w:pPr>
        <w:pStyle w:val="BodyText2"/>
        <w:spacing w:after="0" w:line="240" w:lineRule="auto"/>
        <w:jc w:val="center"/>
      </w:pPr>
    </w:p>
    <w:p w:rsidR="00436AA4" w:rsidRPr="00D27C08" w:rsidRDefault="00C46595" w:rsidP="00436AA4">
      <w:pPr>
        <w:pStyle w:val="BodyText2"/>
        <w:spacing w:after="0" w:line="240" w:lineRule="auto"/>
        <w:rPr>
          <w:b/>
          <w:sz w:val="24"/>
          <w:szCs w:val="24"/>
          <w:u w:val="single"/>
        </w:rPr>
      </w:pPr>
      <w:r>
        <w:rPr>
          <w:b/>
          <w:sz w:val="24"/>
          <w:szCs w:val="24"/>
          <w:u w:val="single"/>
        </w:rPr>
        <w:t>Amendments</w:t>
      </w:r>
      <w:r w:rsidR="00436AA4" w:rsidRPr="00D27C08">
        <w:rPr>
          <w:b/>
          <w:sz w:val="24"/>
          <w:szCs w:val="24"/>
          <w:u w:val="single"/>
        </w:rPr>
        <w:t xml:space="preserve"> to the </w:t>
      </w:r>
      <w:r w:rsidR="006B2FDE">
        <w:rPr>
          <w:b/>
          <w:sz w:val="24"/>
          <w:szCs w:val="24"/>
          <w:u w:val="single"/>
        </w:rPr>
        <w:t>Income Tax Act (“</w:t>
      </w:r>
      <w:r w:rsidR="00436AA4" w:rsidRPr="00D27C08">
        <w:rPr>
          <w:b/>
          <w:sz w:val="24"/>
          <w:szCs w:val="24"/>
          <w:u w:val="single"/>
        </w:rPr>
        <w:t>ITA</w:t>
      </w:r>
      <w:r w:rsidR="006B2FDE">
        <w:rPr>
          <w:b/>
          <w:sz w:val="24"/>
          <w:szCs w:val="24"/>
          <w:u w:val="single"/>
        </w:rPr>
        <w:t>”)</w:t>
      </w:r>
    </w:p>
    <w:p w:rsidR="00436AA4" w:rsidRPr="00350E71" w:rsidRDefault="00436AA4" w:rsidP="00AD055E">
      <w:pPr>
        <w:pStyle w:val="BodyText2"/>
        <w:spacing w:after="0" w:line="240" w:lineRule="auto"/>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3260"/>
        <w:gridCol w:w="7089"/>
        <w:gridCol w:w="2011"/>
      </w:tblGrid>
      <w:tr w:rsidR="00DF37E7" w:rsidRPr="00350E71" w:rsidTr="000A0BB8">
        <w:trPr>
          <w:tblHeader/>
          <w:jc w:val="center"/>
        </w:trPr>
        <w:tc>
          <w:tcPr>
            <w:tcW w:w="310" w:type="pct"/>
            <w:shd w:val="clear" w:color="auto" w:fill="E5DFEC" w:themeFill="accent4" w:themeFillTint="33"/>
          </w:tcPr>
          <w:p w:rsidR="00DF37E7" w:rsidRPr="00350E71" w:rsidRDefault="002C5544" w:rsidP="00ED50EB">
            <w:pPr>
              <w:rPr>
                <w:b/>
              </w:rPr>
            </w:pPr>
            <w:r w:rsidRPr="00350E71">
              <w:rPr>
                <w:b/>
              </w:rPr>
              <w:t>S/N</w:t>
            </w:r>
            <w:r w:rsidR="00DF37E7" w:rsidRPr="00350E71">
              <w:rPr>
                <w:b/>
              </w:rPr>
              <w:t>.</w:t>
            </w:r>
          </w:p>
        </w:tc>
        <w:tc>
          <w:tcPr>
            <w:tcW w:w="1237" w:type="pct"/>
            <w:shd w:val="clear" w:color="auto" w:fill="E5DFEC" w:themeFill="accent4" w:themeFillTint="33"/>
          </w:tcPr>
          <w:p w:rsidR="00DF37E7" w:rsidRPr="00350E71" w:rsidRDefault="00DF37E7" w:rsidP="00833D13">
            <w:pPr>
              <w:rPr>
                <w:b/>
              </w:rPr>
            </w:pPr>
            <w:r w:rsidRPr="00350E71">
              <w:rPr>
                <w:b/>
              </w:rPr>
              <w:t>Legislative Change</w:t>
            </w:r>
          </w:p>
        </w:tc>
        <w:tc>
          <w:tcPr>
            <w:tcW w:w="2690" w:type="pct"/>
            <w:shd w:val="clear" w:color="auto" w:fill="E5DFEC" w:themeFill="accent4" w:themeFillTint="33"/>
          </w:tcPr>
          <w:p w:rsidR="00DF37E7" w:rsidRPr="00350E71" w:rsidRDefault="00DF37E7" w:rsidP="00833D13">
            <w:pPr>
              <w:rPr>
                <w:b/>
              </w:rPr>
            </w:pPr>
            <w:r w:rsidRPr="00350E71">
              <w:rPr>
                <w:b/>
              </w:rPr>
              <w:t>Brief Description of Legislative Change</w:t>
            </w:r>
          </w:p>
          <w:p w:rsidR="00DF37E7" w:rsidRPr="00350E71" w:rsidRDefault="00DF37E7" w:rsidP="00833D13">
            <w:pPr>
              <w:rPr>
                <w:b/>
              </w:rPr>
            </w:pPr>
          </w:p>
        </w:tc>
        <w:tc>
          <w:tcPr>
            <w:tcW w:w="763" w:type="pct"/>
            <w:shd w:val="clear" w:color="auto" w:fill="E5DFEC" w:themeFill="accent4" w:themeFillTint="33"/>
          </w:tcPr>
          <w:p w:rsidR="00DF37E7" w:rsidRPr="00350E71" w:rsidRDefault="00DF37E7" w:rsidP="00ED50EB">
            <w:pPr>
              <w:rPr>
                <w:b/>
              </w:rPr>
            </w:pPr>
            <w:r w:rsidRPr="00350E71">
              <w:rPr>
                <w:b/>
              </w:rPr>
              <w:t xml:space="preserve">Amendment to </w:t>
            </w:r>
            <w:r w:rsidR="00C46595">
              <w:rPr>
                <w:b/>
              </w:rPr>
              <w:t>ITA</w:t>
            </w:r>
          </w:p>
          <w:p w:rsidR="00925B80" w:rsidRPr="00350E71" w:rsidRDefault="00925B80" w:rsidP="00ED50EB">
            <w:pPr>
              <w:rPr>
                <w:b/>
              </w:rPr>
            </w:pPr>
            <w:r w:rsidRPr="00350E71">
              <w:rPr>
                <w:b/>
              </w:rPr>
              <w:t xml:space="preserve">[Clause in </w:t>
            </w:r>
            <w:r w:rsidR="005C678E">
              <w:rPr>
                <w:b/>
              </w:rPr>
              <w:t>extract of Bill relating to amendments to the ITA</w:t>
            </w:r>
            <w:r w:rsidR="00D27C08">
              <w:rPr>
                <w:b/>
              </w:rPr>
              <w:t>]</w:t>
            </w:r>
          </w:p>
          <w:p w:rsidR="00DF37E7" w:rsidRPr="00350E71" w:rsidRDefault="00DF37E7" w:rsidP="00ED50EB">
            <w:pPr>
              <w:rPr>
                <w:b/>
              </w:rPr>
            </w:pPr>
          </w:p>
        </w:tc>
      </w:tr>
      <w:tr w:rsidR="00EF22A4" w:rsidRPr="00A723F3" w:rsidTr="000A0BB8">
        <w:trPr>
          <w:jc w:val="center"/>
        </w:trPr>
        <w:tc>
          <w:tcPr>
            <w:tcW w:w="310" w:type="pct"/>
          </w:tcPr>
          <w:p w:rsidR="00EF22A4" w:rsidRPr="00A723F3" w:rsidRDefault="00EF22A4" w:rsidP="00EF22A4">
            <w:pPr>
              <w:widowControl w:val="0"/>
              <w:numPr>
                <w:ilvl w:val="0"/>
                <w:numId w:val="2"/>
              </w:numPr>
              <w:rPr>
                <w:rFonts w:eastAsia="PMingLiU"/>
                <w:b/>
              </w:rPr>
            </w:pPr>
          </w:p>
        </w:tc>
        <w:tc>
          <w:tcPr>
            <w:tcW w:w="1237" w:type="pct"/>
            <w:shd w:val="clear" w:color="auto" w:fill="auto"/>
          </w:tcPr>
          <w:p w:rsidR="00EF22A4" w:rsidRPr="00A723F3" w:rsidRDefault="00160D54" w:rsidP="00EF1E82">
            <w:pPr>
              <w:widowControl w:val="0"/>
              <w:jc w:val="both"/>
              <w:rPr>
                <w:color w:val="000000"/>
              </w:rPr>
            </w:pPr>
            <w:r w:rsidRPr="00160D54">
              <w:rPr>
                <w:color w:val="000000"/>
              </w:rPr>
              <w:t>A VCC will be treated as a company and a</w:t>
            </w:r>
            <w:r>
              <w:rPr>
                <w:color w:val="000000"/>
              </w:rPr>
              <w:t xml:space="preserve"> single </w:t>
            </w:r>
            <w:r w:rsidR="009C1DD4">
              <w:rPr>
                <w:color w:val="000000"/>
              </w:rPr>
              <w:t xml:space="preserve">tax </w:t>
            </w:r>
            <w:r>
              <w:rPr>
                <w:color w:val="000000"/>
              </w:rPr>
              <w:t>entity</w:t>
            </w:r>
            <w:r w:rsidR="00EF1E82">
              <w:rPr>
                <w:color w:val="000000"/>
              </w:rPr>
              <w:t>, subject to such modificatio</w:t>
            </w:r>
            <w:r w:rsidR="00392CC4">
              <w:rPr>
                <w:color w:val="000000"/>
              </w:rPr>
              <w:t>ns and rules made under the ITA</w:t>
            </w:r>
          </w:p>
        </w:tc>
        <w:tc>
          <w:tcPr>
            <w:tcW w:w="2690" w:type="pct"/>
          </w:tcPr>
          <w:p w:rsidR="009D0A8D" w:rsidRDefault="007E78F4" w:rsidP="009D0A8D">
            <w:pPr>
              <w:autoSpaceDE w:val="0"/>
              <w:autoSpaceDN w:val="0"/>
              <w:adjustRightInd w:val="0"/>
              <w:jc w:val="both"/>
              <w:rPr>
                <w:bCs/>
              </w:rPr>
            </w:pPr>
            <w:r>
              <w:rPr>
                <w:bCs/>
              </w:rPr>
              <w:t xml:space="preserve">Subject to such modifications and rules made under the ITA, a reference </w:t>
            </w:r>
            <w:r w:rsidR="006F4C1F">
              <w:rPr>
                <w:bCs/>
              </w:rPr>
              <w:t>to a company in</w:t>
            </w:r>
            <w:r w:rsidR="009D0A8D">
              <w:rPr>
                <w:bCs/>
              </w:rPr>
              <w:t xml:space="preserve"> the ITA and the relevant subsidiary legislation will </w:t>
            </w:r>
            <w:r w:rsidR="00EF1E82">
              <w:rPr>
                <w:bCs/>
              </w:rPr>
              <w:t>include a VCC</w:t>
            </w:r>
            <w:r w:rsidR="0083107B">
              <w:rPr>
                <w:bCs/>
              </w:rPr>
              <w:t xml:space="preserve">. </w:t>
            </w:r>
            <w:r w:rsidR="00CE6C53">
              <w:rPr>
                <w:bCs/>
              </w:rPr>
              <w:t>For instance</w:t>
            </w:r>
            <w:r w:rsidR="009D0A8D">
              <w:rPr>
                <w:bCs/>
              </w:rPr>
              <w:t>:</w:t>
            </w:r>
          </w:p>
          <w:p w:rsidR="009D0A8D" w:rsidRPr="009D0A8D" w:rsidRDefault="009D0A8D" w:rsidP="009D0A8D">
            <w:pPr>
              <w:autoSpaceDE w:val="0"/>
              <w:autoSpaceDN w:val="0"/>
              <w:adjustRightInd w:val="0"/>
              <w:jc w:val="both"/>
              <w:rPr>
                <w:bCs/>
              </w:rPr>
            </w:pPr>
          </w:p>
          <w:p w:rsidR="00A661EB" w:rsidRPr="00AA2FE3" w:rsidRDefault="005A6D2F" w:rsidP="00A873DD">
            <w:pPr>
              <w:pStyle w:val="ListParagraph"/>
              <w:numPr>
                <w:ilvl w:val="0"/>
                <w:numId w:val="41"/>
              </w:numPr>
              <w:autoSpaceDE w:val="0"/>
              <w:autoSpaceDN w:val="0"/>
              <w:adjustRightInd w:val="0"/>
              <w:jc w:val="both"/>
            </w:pPr>
            <w:proofErr w:type="gramStart"/>
            <w:r w:rsidRPr="004E316D">
              <w:rPr>
                <w:sz w:val="24"/>
                <w:szCs w:val="24"/>
              </w:rPr>
              <w:t xml:space="preserve">A single CIT return will be </w:t>
            </w:r>
            <w:r w:rsidRPr="00AA2FE3">
              <w:rPr>
                <w:sz w:val="24"/>
                <w:szCs w:val="24"/>
              </w:rPr>
              <w:t xml:space="preserve">filed by the </w:t>
            </w:r>
            <w:r w:rsidR="00D61056" w:rsidRPr="00AA2FE3">
              <w:rPr>
                <w:sz w:val="24"/>
                <w:szCs w:val="24"/>
              </w:rPr>
              <w:t xml:space="preserve">umbrella </w:t>
            </w:r>
            <w:r w:rsidRPr="00AA2FE3">
              <w:rPr>
                <w:sz w:val="24"/>
                <w:szCs w:val="24"/>
              </w:rPr>
              <w:t>VCC</w:t>
            </w:r>
            <w:r w:rsidR="00B37120" w:rsidRPr="00AA2FE3">
              <w:rPr>
                <w:sz w:val="24"/>
                <w:szCs w:val="24"/>
              </w:rPr>
              <w:t xml:space="preserve"> regardless of the number of its sub-funds</w:t>
            </w:r>
            <w:proofErr w:type="gramEnd"/>
            <w:r w:rsidR="00D61056" w:rsidRPr="00AA2FE3">
              <w:rPr>
                <w:sz w:val="24"/>
                <w:szCs w:val="24"/>
              </w:rPr>
              <w:t>.</w:t>
            </w:r>
            <w:r w:rsidRPr="00AA2FE3">
              <w:rPr>
                <w:sz w:val="24"/>
                <w:szCs w:val="24"/>
              </w:rPr>
              <w:t xml:space="preserve"> </w:t>
            </w:r>
          </w:p>
          <w:p w:rsidR="005A6D2F" w:rsidRDefault="005A6D2F" w:rsidP="00A661EB">
            <w:pPr>
              <w:pStyle w:val="ListParagraph"/>
              <w:autoSpaceDE w:val="0"/>
              <w:autoSpaceDN w:val="0"/>
              <w:adjustRightInd w:val="0"/>
              <w:jc w:val="both"/>
            </w:pPr>
          </w:p>
          <w:p w:rsidR="00172D9F" w:rsidRPr="00172D9F" w:rsidRDefault="00172D9F" w:rsidP="00160D54">
            <w:pPr>
              <w:pStyle w:val="ListParagraph"/>
              <w:numPr>
                <w:ilvl w:val="0"/>
                <w:numId w:val="41"/>
              </w:numPr>
              <w:autoSpaceDE w:val="0"/>
              <w:autoSpaceDN w:val="0"/>
              <w:adjustRightInd w:val="0"/>
              <w:jc w:val="both"/>
              <w:rPr>
                <w:sz w:val="24"/>
                <w:szCs w:val="24"/>
              </w:rPr>
            </w:pPr>
            <w:r w:rsidRPr="00160D54">
              <w:rPr>
                <w:sz w:val="24"/>
                <w:szCs w:val="24"/>
              </w:rPr>
              <w:t xml:space="preserve">Tax </w:t>
            </w:r>
            <w:r w:rsidRPr="00FF26ED">
              <w:rPr>
                <w:sz w:val="24"/>
                <w:szCs w:val="24"/>
              </w:rPr>
              <w:t xml:space="preserve">incentives </w:t>
            </w:r>
            <w:r w:rsidRPr="00160D54">
              <w:rPr>
                <w:sz w:val="24"/>
                <w:szCs w:val="24"/>
              </w:rPr>
              <w:t xml:space="preserve">under sections 13R and 13X </w:t>
            </w:r>
            <w:r>
              <w:rPr>
                <w:sz w:val="24"/>
                <w:szCs w:val="24"/>
              </w:rPr>
              <w:t xml:space="preserve">of the ITA </w:t>
            </w:r>
            <w:proofErr w:type="gramStart"/>
            <w:r w:rsidRPr="00160D54">
              <w:rPr>
                <w:sz w:val="24"/>
                <w:szCs w:val="24"/>
              </w:rPr>
              <w:t xml:space="preserve">will be </w:t>
            </w:r>
            <w:r w:rsidR="00497816">
              <w:rPr>
                <w:sz w:val="24"/>
                <w:szCs w:val="24"/>
              </w:rPr>
              <w:t>extended</w:t>
            </w:r>
            <w:proofErr w:type="gramEnd"/>
            <w:r w:rsidR="00497816">
              <w:rPr>
                <w:sz w:val="24"/>
                <w:szCs w:val="24"/>
              </w:rPr>
              <w:t xml:space="preserve"> to VCCs. In the case of an </w:t>
            </w:r>
            <w:r w:rsidR="00D61056">
              <w:rPr>
                <w:sz w:val="24"/>
                <w:szCs w:val="24"/>
              </w:rPr>
              <w:t>u</w:t>
            </w:r>
            <w:r w:rsidR="00497816">
              <w:rPr>
                <w:sz w:val="24"/>
                <w:szCs w:val="24"/>
              </w:rPr>
              <w:t xml:space="preserve">mbrella VCC, these tax incentives </w:t>
            </w:r>
            <w:proofErr w:type="gramStart"/>
            <w:r w:rsidR="00497816">
              <w:rPr>
                <w:sz w:val="24"/>
                <w:szCs w:val="24"/>
              </w:rPr>
              <w:t xml:space="preserve">will be </w:t>
            </w:r>
            <w:r w:rsidR="00741C4F">
              <w:rPr>
                <w:sz w:val="24"/>
                <w:szCs w:val="24"/>
              </w:rPr>
              <w:t>granted</w:t>
            </w:r>
            <w:proofErr w:type="gramEnd"/>
            <w:r w:rsidR="00741C4F">
              <w:rPr>
                <w:sz w:val="24"/>
                <w:szCs w:val="24"/>
              </w:rPr>
              <w:t xml:space="preserve"> </w:t>
            </w:r>
            <w:r w:rsidRPr="00160D54">
              <w:rPr>
                <w:sz w:val="24"/>
                <w:szCs w:val="24"/>
              </w:rPr>
              <w:t xml:space="preserve">at the </w:t>
            </w:r>
            <w:r w:rsidR="005911A7">
              <w:rPr>
                <w:sz w:val="24"/>
                <w:szCs w:val="24"/>
              </w:rPr>
              <w:t>umbrella</w:t>
            </w:r>
            <w:r w:rsidR="005911A7" w:rsidRPr="00160D54">
              <w:rPr>
                <w:sz w:val="24"/>
                <w:szCs w:val="24"/>
              </w:rPr>
              <w:t xml:space="preserve"> </w:t>
            </w:r>
            <w:r w:rsidRPr="00160D54">
              <w:rPr>
                <w:sz w:val="24"/>
                <w:szCs w:val="24"/>
              </w:rPr>
              <w:t>level.</w:t>
            </w:r>
          </w:p>
          <w:p w:rsidR="00172D9F" w:rsidRPr="00172D9F" w:rsidRDefault="00172D9F" w:rsidP="00172D9F">
            <w:pPr>
              <w:pStyle w:val="ListParagraph"/>
              <w:rPr>
                <w:bCs/>
                <w:sz w:val="24"/>
                <w:szCs w:val="24"/>
              </w:rPr>
            </w:pPr>
          </w:p>
          <w:p w:rsidR="00160D54" w:rsidRPr="00160D54" w:rsidRDefault="00160D54" w:rsidP="00160D54">
            <w:pPr>
              <w:pStyle w:val="ListParagraph"/>
              <w:numPr>
                <w:ilvl w:val="0"/>
                <w:numId w:val="41"/>
              </w:numPr>
              <w:autoSpaceDE w:val="0"/>
              <w:autoSpaceDN w:val="0"/>
              <w:adjustRightInd w:val="0"/>
              <w:jc w:val="both"/>
              <w:rPr>
                <w:sz w:val="24"/>
                <w:szCs w:val="24"/>
              </w:rPr>
            </w:pPr>
            <w:r w:rsidRPr="00160D54">
              <w:rPr>
                <w:bCs/>
                <w:sz w:val="24"/>
                <w:szCs w:val="24"/>
              </w:rPr>
              <w:t>The chargeable income of a</w:t>
            </w:r>
            <w:r w:rsidR="00217CEE">
              <w:rPr>
                <w:bCs/>
                <w:sz w:val="24"/>
                <w:szCs w:val="24"/>
              </w:rPr>
              <w:t>n umbrella</w:t>
            </w:r>
            <w:r w:rsidRPr="00160D54">
              <w:rPr>
                <w:bCs/>
                <w:sz w:val="24"/>
                <w:szCs w:val="24"/>
              </w:rPr>
              <w:t xml:space="preserve"> VCC will be </w:t>
            </w:r>
            <w:r w:rsidR="00C64651">
              <w:rPr>
                <w:bCs/>
                <w:sz w:val="24"/>
                <w:szCs w:val="24"/>
              </w:rPr>
              <w:t xml:space="preserve">the total of the chargeable income of each sub-fund. </w:t>
            </w:r>
          </w:p>
          <w:p w:rsidR="00160D54" w:rsidRPr="00160D54" w:rsidRDefault="00160D54" w:rsidP="00160D54">
            <w:pPr>
              <w:pStyle w:val="ListParagraph"/>
              <w:autoSpaceDE w:val="0"/>
              <w:autoSpaceDN w:val="0"/>
              <w:adjustRightInd w:val="0"/>
              <w:jc w:val="both"/>
              <w:rPr>
                <w:sz w:val="24"/>
                <w:szCs w:val="24"/>
              </w:rPr>
            </w:pPr>
          </w:p>
          <w:p w:rsidR="00E73693" w:rsidRPr="00172D9F" w:rsidRDefault="00160D54" w:rsidP="00172D9F">
            <w:pPr>
              <w:pStyle w:val="ListParagraph"/>
              <w:numPr>
                <w:ilvl w:val="0"/>
                <w:numId w:val="41"/>
              </w:numPr>
              <w:autoSpaceDE w:val="0"/>
              <w:autoSpaceDN w:val="0"/>
              <w:adjustRightInd w:val="0"/>
              <w:jc w:val="both"/>
              <w:rPr>
                <w:sz w:val="24"/>
                <w:szCs w:val="24"/>
              </w:rPr>
            </w:pPr>
            <w:r w:rsidRPr="00160D54">
              <w:rPr>
                <w:sz w:val="24"/>
                <w:szCs w:val="24"/>
              </w:rPr>
              <w:t>P</w:t>
            </w:r>
            <w:r>
              <w:rPr>
                <w:sz w:val="24"/>
                <w:szCs w:val="24"/>
              </w:rPr>
              <w:t xml:space="preserve">artial </w:t>
            </w:r>
            <w:r w:rsidR="0083107B">
              <w:rPr>
                <w:sz w:val="24"/>
                <w:szCs w:val="24"/>
              </w:rPr>
              <w:t>Tax E</w:t>
            </w:r>
            <w:r>
              <w:rPr>
                <w:sz w:val="24"/>
                <w:szCs w:val="24"/>
              </w:rPr>
              <w:t xml:space="preserve">xemption </w:t>
            </w:r>
            <w:r w:rsidR="009C1DD4">
              <w:rPr>
                <w:sz w:val="24"/>
                <w:szCs w:val="24"/>
              </w:rPr>
              <w:t xml:space="preserve">and </w:t>
            </w:r>
            <w:r>
              <w:rPr>
                <w:sz w:val="24"/>
                <w:szCs w:val="24"/>
              </w:rPr>
              <w:t>Start-Up Tax Exemption (</w:t>
            </w:r>
            <w:r w:rsidR="0082788C">
              <w:rPr>
                <w:sz w:val="24"/>
                <w:szCs w:val="24"/>
              </w:rPr>
              <w:t>“</w:t>
            </w:r>
            <w:r w:rsidRPr="00160D54">
              <w:rPr>
                <w:sz w:val="24"/>
                <w:szCs w:val="24"/>
              </w:rPr>
              <w:t>SUTE</w:t>
            </w:r>
            <w:r w:rsidR="0082788C">
              <w:rPr>
                <w:sz w:val="24"/>
                <w:szCs w:val="24"/>
              </w:rPr>
              <w:t>”</w:t>
            </w:r>
            <w:r>
              <w:rPr>
                <w:sz w:val="24"/>
                <w:szCs w:val="24"/>
              </w:rPr>
              <w:t>)</w:t>
            </w:r>
            <w:r w:rsidR="00172D9F">
              <w:rPr>
                <w:sz w:val="24"/>
                <w:szCs w:val="24"/>
              </w:rPr>
              <w:t xml:space="preserve"> </w:t>
            </w:r>
            <w:proofErr w:type="gramStart"/>
            <w:r w:rsidRPr="00160D54">
              <w:rPr>
                <w:sz w:val="24"/>
                <w:szCs w:val="24"/>
              </w:rPr>
              <w:t>wi</w:t>
            </w:r>
            <w:r>
              <w:rPr>
                <w:sz w:val="24"/>
                <w:szCs w:val="24"/>
              </w:rPr>
              <w:t>ll be applied</w:t>
            </w:r>
            <w:proofErr w:type="gramEnd"/>
            <w:r>
              <w:rPr>
                <w:sz w:val="24"/>
                <w:szCs w:val="24"/>
              </w:rPr>
              <w:t xml:space="preserve"> </w:t>
            </w:r>
            <w:r w:rsidR="00497816">
              <w:rPr>
                <w:sz w:val="24"/>
                <w:szCs w:val="24"/>
              </w:rPr>
              <w:t xml:space="preserve">once </w:t>
            </w:r>
            <w:r>
              <w:rPr>
                <w:sz w:val="24"/>
                <w:szCs w:val="24"/>
              </w:rPr>
              <w:t xml:space="preserve">at the </w:t>
            </w:r>
            <w:r w:rsidR="005911A7">
              <w:rPr>
                <w:sz w:val="24"/>
                <w:szCs w:val="24"/>
              </w:rPr>
              <w:t xml:space="preserve">umbrella </w:t>
            </w:r>
            <w:r>
              <w:rPr>
                <w:sz w:val="24"/>
                <w:szCs w:val="24"/>
              </w:rPr>
              <w:t>level</w:t>
            </w:r>
            <w:r w:rsidR="00497816">
              <w:rPr>
                <w:sz w:val="24"/>
                <w:szCs w:val="24"/>
              </w:rPr>
              <w:t>, regardless of the number of sub-funds the umbrella VCC may have</w:t>
            </w:r>
            <w:r w:rsidR="0086198A">
              <w:rPr>
                <w:sz w:val="24"/>
                <w:szCs w:val="24"/>
              </w:rPr>
              <w:t>.</w:t>
            </w:r>
            <w:r w:rsidR="00172D9F">
              <w:rPr>
                <w:sz w:val="24"/>
                <w:szCs w:val="24"/>
              </w:rPr>
              <w:t xml:space="preserve"> </w:t>
            </w:r>
            <w:r w:rsidRPr="00172D9F">
              <w:rPr>
                <w:sz w:val="24"/>
                <w:szCs w:val="24"/>
              </w:rPr>
              <w:t xml:space="preserve">Subject to conditions, a VCC will </w:t>
            </w:r>
            <w:r w:rsidR="00FE0F75">
              <w:rPr>
                <w:sz w:val="24"/>
                <w:szCs w:val="24"/>
              </w:rPr>
              <w:t xml:space="preserve">enjoy the </w:t>
            </w:r>
            <w:r w:rsidRPr="00172D9F">
              <w:rPr>
                <w:sz w:val="24"/>
                <w:szCs w:val="24"/>
              </w:rPr>
              <w:t xml:space="preserve">SUTE </w:t>
            </w:r>
            <w:r w:rsidR="00FE0F75">
              <w:rPr>
                <w:sz w:val="24"/>
                <w:szCs w:val="24"/>
              </w:rPr>
              <w:t xml:space="preserve">for its </w:t>
            </w:r>
            <w:r w:rsidR="0086198A" w:rsidRPr="00172D9F">
              <w:rPr>
                <w:sz w:val="24"/>
                <w:szCs w:val="24"/>
              </w:rPr>
              <w:t xml:space="preserve">first three </w:t>
            </w:r>
            <w:r w:rsidR="00F05E81">
              <w:rPr>
                <w:sz w:val="24"/>
                <w:szCs w:val="24"/>
              </w:rPr>
              <w:t>y</w:t>
            </w:r>
            <w:r w:rsidR="00F05E81" w:rsidRPr="00172D9F">
              <w:rPr>
                <w:sz w:val="24"/>
                <w:szCs w:val="24"/>
              </w:rPr>
              <w:t xml:space="preserve">ears </w:t>
            </w:r>
            <w:r w:rsidR="0086198A" w:rsidRPr="00172D9F">
              <w:rPr>
                <w:sz w:val="24"/>
                <w:szCs w:val="24"/>
              </w:rPr>
              <w:t xml:space="preserve">of </w:t>
            </w:r>
            <w:r w:rsidR="00F05E81">
              <w:rPr>
                <w:sz w:val="24"/>
                <w:szCs w:val="24"/>
              </w:rPr>
              <w:t>a</w:t>
            </w:r>
            <w:r w:rsidR="00F05E81" w:rsidRPr="00172D9F">
              <w:rPr>
                <w:sz w:val="24"/>
                <w:szCs w:val="24"/>
              </w:rPr>
              <w:t>ssessment</w:t>
            </w:r>
            <w:r w:rsidR="00F05E81">
              <w:rPr>
                <w:sz w:val="24"/>
                <w:szCs w:val="24"/>
              </w:rPr>
              <w:t xml:space="preserve"> (“YAs”)</w:t>
            </w:r>
            <w:r w:rsidRPr="00172D9F">
              <w:rPr>
                <w:sz w:val="24"/>
                <w:szCs w:val="24"/>
              </w:rPr>
              <w:t xml:space="preserve">. </w:t>
            </w:r>
            <w:r w:rsidR="00F05E81">
              <w:rPr>
                <w:sz w:val="24"/>
                <w:szCs w:val="24"/>
              </w:rPr>
              <w:t>In the case of an umbrella VCC, the first three YAs are determined with reference to its date of incorporation and not the date of registration of its sub-funds.</w:t>
            </w:r>
          </w:p>
          <w:p w:rsidR="00160D54" w:rsidRDefault="00160D54" w:rsidP="00160D54">
            <w:pPr>
              <w:pStyle w:val="ListParagraph"/>
              <w:autoSpaceDE w:val="0"/>
              <w:autoSpaceDN w:val="0"/>
              <w:adjustRightInd w:val="0"/>
              <w:jc w:val="both"/>
              <w:rPr>
                <w:sz w:val="24"/>
                <w:szCs w:val="24"/>
              </w:rPr>
            </w:pPr>
          </w:p>
          <w:p w:rsidR="006D193F" w:rsidRDefault="006D193F" w:rsidP="006D193F">
            <w:pPr>
              <w:pStyle w:val="ListParagraph"/>
              <w:numPr>
                <w:ilvl w:val="0"/>
                <w:numId w:val="41"/>
              </w:numPr>
              <w:autoSpaceDE w:val="0"/>
              <w:autoSpaceDN w:val="0"/>
              <w:adjustRightInd w:val="0"/>
              <w:jc w:val="both"/>
              <w:rPr>
                <w:sz w:val="24"/>
                <w:szCs w:val="24"/>
              </w:rPr>
            </w:pPr>
            <w:r>
              <w:rPr>
                <w:sz w:val="24"/>
                <w:szCs w:val="24"/>
              </w:rPr>
              <w:t xml:space="preserve">Tax residence will be determined at the </w:t>
            </w:r>
            <w:r w:rsidR="005911A7">
              <w:rPr>
                <w:sz w:val="24"/>
                <w:szCs w:val="24"/>
              </w:rPr>
              <w:t xml:space="preserve">umbrella </w:t>
            </w:r>
            <w:r>
              <w:rPr>
                <w:sz w:val="24"/>
                <w:szCs w:val="24"/>
              </w:rPr>
              <w:t>level</w:t>
            </w:r>
            <w:r w:rsidR="004E316D">
              <w:rPr>
                <w:sz w:val="24"/>
                <w:szCs w:val="24"/>
              </w:rPr>
              <w:t>.</w:t>
            </w:r>
            <w:r>
              <w:rPr>
                <w:sz w:val="24"/>
                <w:szCs w:val="24"/>
              </w:rPr>
              <w:t xml:space="preserve"> </w:t>
            </w:r>
          </w:p>
          <w:p w:rsidR="00160D54" w:rsidRPr="006D193F" w:rsidRDefault="00160D54" w:rsidP="006D193F">
            <w:pPr>
              <w:autoSpaceDE w:val="0"/>
              <w:autoSpaceDN w:val="0"/>
              <w:adjustRightInd w:val="0"/>
              <w:jc w:val="both"/>
            </w:pPr>
          </w:p>
        </w:tc>
        <w:tc>
          <w:tcPr>
            <w:tcW w:w="763" w:type="pct"/>
          </w:tcPr>
          <w:p w:rsidR="00C64651" w:rsidRPr="00A723F3" w:rsidRDefault="0044526C" w:rsidP="00EF22A4">
            <w:r>
              <w:t>1 and 2</w:t>
            </w:r>
          </w:p>
        </w:tc>
      </w:tr>
      <w:tr w:rsidR="00160D54" w:rsidRPr="00A723F3" w:rsidTr="000A0BB8">
        <w:trPr>
          <w:jc w:val="center"/>
        </w:trPr>
        <w:tc>
          <w:tcPr>
            <w:tcW w:w="310" w:type="pct"/>
          </w:tcPr>
          <w:p w:rsidR="00160D54" w:rsidRPr="00A723F3" w:rsidRDefault="00160D54" w:rsidP="00EF22A4">
            <w:pPr>
              <w:widowControl w:val="0"/>
              <w:numPr>
                <w:ilvl w:val="0"/>
                <w:numId w:val="2"/>
              </w:numPr>
              <w:rPr>
                <w:rFonts w:eastAsia="PMingLiU"/>
                <w:b/>
              </w:rPr>
            </w:pPr>
          </w:p>
        </w:tc>
        <w:tc>
          <w:tcPr>
            <w:tcW w:w="1237" w:type="pct"/>
            <w:shd w:val="clear" w:color="auto" w:fill="auto"/>
          </w:tcPr>
          <w:p w:rsidR="00160D54" w:rsidRPr="00160D54" w:rsidRDefault="00160D54" w:rsidP="00EF22A4">
            <w:pPr>
              <w:widowControl w:val="0"/>
              <w:jc w:val="both"/>
              <w:rPr>
                <w:color w:val="000000"/>
              </w:rPr>
            </w:pPr>
            <w:r>
              <w:rPr>
                <w:color w:val="000000"/>
              </w:rPr>
              <w:t>Specific exclusions for VCCs</w:t>
            </w:r>
          </w:p>
        </w:tc>
        <w:tc>
          <w:tcPr>
            <w:tcW w:w="2690" w:type="pct"/>
          </w:tcPr>
          <w:p w:rsidR="00D27C08" w:rsidRDefault="00D27C08" w:rsidP="00AD055E">
            <w:pPr>
              <w:autoSpaceDE w:val="0"/>
              <w:autoSpaceDN w:val="0"/>
              <w:adjustRightInd w:val="0"/>
              <w:jc w:val="both"/>
            </w:pPr>
            <w:r>
              <w:t xml:space="preserve">In view that </w:t>
            </w:r>
            <w:r w:rsidR="00F05E81">
              <w:t xml:space="preserve">a </w:t>
            </w:r>
            <w:r>
              <w:t>VCC’</w:t>
            </w:r>
            <w:r w:rsidR="00F05E81">
              <w:t>s</w:t>
            </w:r>
            <w:r>
              <w:t xml:space="preserve"> sole object is to be one or more collective investment schemes</w:t>
            </w:r>
            <w:r w:rsidR="00FF7646">
              <w:t xml:space="preserve"> in the form of a body corporate</w:t>
            </w:r>
            <w:r>
              <w:t xml:space="preserve">, </w:t>
            </w:r>
            <w:r w:rsidR="00160D54">
              <w:t xml:space="preserve">VCCs will be excluded from the </w:t>
            </w:r>
            <w:r w:rsidR="00160D54" w:rsidRPr="00172D9F">
              <w:t>schemes</w:t>
            </w:r>
            <w:r w:rsidR="00EF01FE" w:rsidRPr="00172D9F">
              <w:t xml:space="preserve"> listed in </w:t>
            </w:r>
            <w:r w:rsidR="00982A38">
              <w:t xml:space="preserve">the </w:t>
            </w:r>
            <w:r w:rsidR="00EF01FE" w:rsidRPr="00172D9F">
              <w:rPr>
                <w:b/>
              </w:rPr>
              <w:t>Annex</w:t>
            </w:r>
            <w:r w:rsidR="00EF01FE" w:rsidRPr="00172D9F">
              <w:t>.</w:t>
            </w:r>
          </w:p>
          <w:p w:rsidR="00D27C08" w:rsidRPr="00172D9F" w:rsidRDefault="00D27C08" w:rsidP="00172D9F">
            <w:pPr>
              <w:autoSpaceDE w:val="0"/>
              <w:autoSpaceDN w:val="0"/>
              <w:adjustRightInd w:val="0"/>
              <w:jc w:val="both"/>
            </w:pPr>
          </w:p>
        </w:tc>
        <w:tc>
          <w:tcPr>
            <w:tcW w:w="763" w:type="pct"/>
          </w:tcPr>
          <w:p w:rsidR="00160D54" w:rsidRPr="00A723F3" w:rsidRDefault="0044526C" w:rsidP="00EF22A4">
            <w:r>
              <w:t>2</w:t>
            </w:r>
          </w:p>
        </w:tc>
      </w:tr>
      <w:tr w:rsidR="004E7AA4" w:rsidRPr="00A723F3" w:rsidTr="000A0BB8">
        <w:trPr>
          <w:jc w:val="center"/>
        </w:trPr>
        <w:tc>
          <w:tcPr>
            <w:tcW w:w="310" w:type="pct"/>
          </w:tcPr>
          <w:p w:rsidR="004E7AA4" w:rsidRPr="00A723F3" w:rsidRDefault="004E7AA4" w:rsidP="00EF22A4">
            <w:pPr>
              <w:widowControl w:val="0"/>
              <w:numPr>
                <w:ilvl w:val="0"/>
                <w:numId w:val="2"/>
              </w:numPr>
              <w:rPr>
                <w:rFonts w:eastAsia="PMingLiU"/>
                <w:b/>
              </w:rPr>
            </w:pPr>
          </w:p>
        </w:tc>
        <w:tc>
          <w:tcPr>
            <w:tcW w:w="1237" w:type="pct"/>
            <w:shd w:val="clear" w:color="auto" w:fill="auto"/>
          </w:tcPr>
          <w:p w:rsidR="004E7AA4" w:rsidRDefault="00EF01FE" w:rsidP="00EF01FE">
            <w:pPr>
              <w:widowControl w:val="0"/>
              <w:jc w:val="both"/>
              <w:rPr>
                <w:color w:val="000000"/>
              </w:rPr>
            </w:pPr>
            <w:r w:rsidRPr="00172D9F">
              <w:t>Application of CIT rules at the sub-fund level</w:t>
            </w:r>
            <w:r w:rsidR="00217CEE">
              <w:t xml:space="preserve"> for umbrella VCCs</w:t>
            </w:r>
          </w:p>
        </w:tc>
        <w:tc>
          <w:tcPr>
            <w:tcW w:w="2690" w:type="pct"/>
          </w:tcPr>
          <w:p w:rsidR="004E7AA4" w:rsidRDefault="004E7AA4" w:rsidP="004E7AA4">
            <w:pPr>
              <w:jc w:val="both"/>
              <w:rPr>
                <w:bCs/>
              </w:rPr>
            </w:pPr>
            <w:r w:rsidRPr="004E7AA4">
              <w:t>In recognition of the segregation of assets and liabilities between sub-funds</w:t>
            </w:r>
            <w:r w:rsidRPr="004E7AA4">
              <w:rPr>
                <w:bCs/>
              </w:rPr>
              <w:t xml:space="preserve">, the following treatment will </w:t>
            </w:r>
            <w:r w:rsidRPr="00172D9F">
              <w:t>apply</w:t>
            </w:r>
            <w:r w:rsidR="00AF7CB4" w:rsidRPr="00172D9F">
              <w:t xml:space="preserve"> at the sub-fund level</w:t>
            </w:r>
            <w:r w:rsidRPr="00172D9F">
              <w:t>:</w:t>
            </w:r>
            <w:r w:rsidRPr="004E7AA4">
              <w:rPr>
                <w:bCs/>
              </w:rPr>
              <w:t xml:space="preserve"> </w:t>
            </w:r>
          </w:p>
          <w:p w:rsidR="004E7AA4" w:rsidRPr="004E7AA4" w:rsidRDefault="004E7AA4" w:rsidP="004E7AA4">
            <w:pPr>
              <w:jc w:val="both"/>
              <w:rPr>
                <w:bCs/>
              </w:rPr>
            </w:pPr>
          </w:p>
          <w:p w:rsidR="004E7AA4" w:rsidRDefault="004E7AA4" w:rsidP="004E7AA4">
            <w:pPr>
              <w:pStyle w:val="ListParagraph"/>
              <w:numPr>
                <w:ilvl w:val="0"/>
                <w:numId w:val="43"/>
              </w:numPr>
              <w:jc w:val="both"/>
              <w:rPr>
                <w:bCs/>
                <w:sz w:val="24"/>
                <w:szCs w:val="24"/>
              </w:rPr>
            </w:pPr>
            <w:r w:rsidRPr="004E7AA4">
              <w:rPr>
                <w:bCs/>
                <w:sz w:val="24"/>
                <w:szCs w:val="24"/>
              </w:rPr>
              <w:t xml:space="preserve">Deductions and allowances will be </w:t>
            </w:r>
            <w:r w:rsidR="001A6D82">
              <w:rPr>
                <w:bCs/>
                <w:sz w:val="24"/>
                <w:szCs w:val="24"/>
              </w:rPr>
              <w:t>applied at the</w:t>
            </w:r>
            <w:r w:rsidRPr="004E7AA4">
              <w:rPr>
                <w:bCs/>
                <w:sz w:val="24"/>
                <w:szCs w:val="24"/>
              </w:rPr>
              <w:t xml:space="preserve"> sub-fund</w:t>
            </w:r>
            <w:r w:rsidR="001A6D82">
              <w:rPr>
                <w:bCs/>
                <w:sz w:val="24"/>
                <w:szCs w:val="24"/>
              </w:rPr>
              <w:t xml:space="preserve"> level</w:t>
            </w:r>
            <w:r w:rsidRPr="004E7AA4">
              <w:rPr>
                <w:bCs/>
                <w:sz w:val="24"/>
                <w:szCs w:val="24"/>
              </w:rPr>
              <w:t xml:space="preserve"> for </w:t>
            </w:r>
            <w:r w:rsidR="006504A3">
              <w:rPr>
                <w:bCs/>
                <w:sz w:val="24"/>
                <w:szCs w:val="24"/>
              </w:rPr>
              <w:t xml:space="preserve">determination of the sub-fund’s </w:t>
            </w:r>
            <w:r w:rsidR="001A6D82">
              <w:rPr>
                <w:bCs/>
                <w:sz w:val="24"/>
                <w:szCs w:val="24"/>
              </w:rPr>
              <w:t>chargeable or exempt income</w:t>
            </w:r>
            <w:r w:rsidR="00272E5F" w:rsidRPr="00172D9F">
              <w:rPr>
                <w:sz w:val="24"/>
                <w:szCs w:val="24"/>
              </w:rPr>
              <w:t>;</w:t>
            </w:r>
          </w:p>
          <w:p w:rsidR="004E7AA4" w:rsidRPr="004E7AA4" w:rsidRDefault="004E7AA4" w:rsidP="004E7AA4">
            <w:pPr>
              <w:pStyle w:val="ListParagraph"/>
              <w:jc w:val="both"/>
              <w:rPr>
                <w:bCs/>
                <w:sz w:val="24"/>
                <w:szCs w:val="24"/>
              </w:rPr>
            </w:pPr>
          </w:p>
          <w:p w:rsidR="004E7AA4" w:rsidRDefault="00A43D0D" w:rsidP="00427B58">
            <w:pPr>
              <w:pStyle w:val="ListParagraph"/>
              <w:numPr>
                <w:ilvl w:val="0"/>
                <w:numId w:val="43"/>
              </w:numPr>
              <w:jc w:val="both"/>
              <w:rPr>
                <w:bCs/>
                <w:sz w:val="24"/>
                <w:szCs w:val="24"/>
              </w:rPr>
            </w:pPr>
            <w:r>
              <w:rPr>
                <w:bCs/>
                <w:sz w:val="24"/>
                <w:szCs w:val="24"/>
              </w:rPr>
              <w:t xml:space="preserve">Where applicable, </w:t>
            </w:r>
            <w:proofErr w:type="spellStart"/>
            <w:r>
              <w:rPr>
                <w:bCs/>
                <w:sz w:val="24"/>
                <w:szCs w:val="24"/>
              </w:rPr>
              <w:t>u</w:t>
            </w:r>
            <w:r w:rsidRPr="00427B58">
              <w:rPr>
                <w:bCs/>
                <w:sz w:val="24"/>
                <w:szCs w:val="24"/>
              </w:rPr>
              <w:t>nutilised</w:t>
            </w:r>
            <w:proofErr w:type="spellEnd"/>
            <w:r w:rsidRPr="00427B58">
              <w:rPr>
                <w:bCs/>
                <w:sz w:val="24"/>
                <w:szCs w:val="24"/>
              </w:rPr>
              <w:t xml:space="preserve"> </w:t>
            </w:r>
            <w:r w:rsidR="00427B58" w:rsidRPr="00427B58">
              <w:rPr>
                <w:bCs/>
                <w:sz w:val="24"/>
                <w:szCs w:val="24"/>
              </w:rPr>
              <w:t>capital allowances, trade losses and donations</w:t>
            </w:r>
            <w:r w:rsidR="00427B58">
              <w:rPr>
                <w:bCs/>
                <w:sz w:val="24"/>
                <w:szCs w:val="24"/>
              </w:rPr>
              <w:t xml:space="preserve"> (herein</w:t>
            </w:r>
            <w:r w:rsidR="00F05E81">
              <w:rPr>
                <w:bCs/>
                <w:sz w:val="24"/>
                <w:szCs w:val="24"/>
              </w:rPr>
              <w:t>after</w:t>
            </w:r>
            <w:r w:rsidR="00427B58">
              <w:rPr>
                <w:bCs/>
                <w:sz w:val="24"/>
                <w:szCs w:val="24"/>
              </w:rPr>
              <w:t xml:space="preserve"> referred to as “t</w:t>
            </w:r>
            <w:r w:rsidR="004E7AA4" w:rsidRPr="004E7AA4">
              <w:rPr>
                <w:bCs/>
                <w:sz w:val="24"/>
                <w:szCs w:val="24"/>
              </w:rPr>
              <w:t>ax losses</w:t>
            </w:r>
            <w:r w:rsidR="00427B58">
              <w:rPr>
                <w:bCs/>
                <w:sz w:val="24"/>
                <w:szCs w:val="24"/>
              </w:rPr>
              <w:t>”)</w:t>
            </w:r>
            <w:r w:rsidR="004E7AA4" w:rsidRPr="004E7AA4">
              <w:rPr>
                <w:bCs/>
                <w:sz w:val="24"/>
                <w:szCs w:val="24"/>
              </w:rPr>
              <w:t xml:space="preserve"> will be </w:t>
            </w:r>
            <w:r w:rsidR="001A6D82">
              <w:rPr>
                <w:bCs/>
                <w:sz w:val="24"/>
                <w:szCs w:val="24"/>
              </w:rPr>
              <w:t>applied and kept to</w:t>
            </w:r>
            <w:r w:rsidR="004E7AA4" w:rsidRPr="004E7AA4">
              <w:rPr>
                <w:bCs/>
                <w:sz w:val="24"/>
                <w:szCs w:val="24"/>
              </w:rPr>
              <w:t xml:space="preserve"> each sub-fund </w:t>
            </w:r>
            <w:r>
              <w:rPr>
                <w:bCs/>
                <w:sz w:val="24"/>
                <w:szCs w:val="24"/>
              </w:rPr>
              <w:t xml:space="preserve">to be (1) carried forward </w:t>
            </w:r>
            <w:r w:rsidR="004E7AA4" w:rsidRPr="004E7AA4">
              <w:rPr>
                <w:bCs/>
                <w:sz w:val="24"/>
                <w:szCs w:val="24"/>
              </w:rPr>
              <w:t xml:space="preserve">for </w:t>
            </w:r>
            <w:proofErr w:type="spellStart"/>
            <w:r w:rsidR="004E7AA4" w:rsidRPr="004E7AA4">
              <w:rPr>
                <w:bCs/>
                <w:sz w:val="24"/>
                <w:szCs w:val="24"/>
              </w:rPr>
              <w:t>utilisation</w:t>
            </w:r>
            <w:proofErr w:type="spellEnd"/>
            <w:r w:rsidR="004E7AA4" w:rsidRPr="004E7AA4">
              <w:rPr>
                <w:bCs/>
                <w:sz w:val="24"/>
                <w:szCs w:val="24"/>
              </w:rPr>
              <w:t xml:space="preserve"> against future year’s taxable profits of that sub-fund, </w:t>
            </w:r>
            <w:r>
              <w:rPr>
                <w:bCs/>
                <w:sz w:val="24"/>
                <w:szCs w:val="24"/>
              </w:rPr>
              <w:t>or (2) carried back</w:t>
            </w:r>
            <w:r w:rsidR="004E7AA4" w:rsidRPr="004E7AA4">
              <w:rPr>
                <w:bCs/>
                <w:sz w:val="24"/>
                <w:szCs w:val="24"/>
              </w:rPr>
              <w:t xml:space="preserve"> for </w:t>
            </w:r>
            <w:proofErr w:type="spellStart"/>
            <w:r w:rsidR="004E7AA4" w:rsidRPr="004E7AA4">
              <w:rPr>
                <w:bCs/>
                <w:sz w:val="24"/>
                <w:szCs w:val="24"/>
              </w:rPr>
              <w:t>utilisation</w:t>
            </w:r>
            <w:proofErr w:type="spellEnd"/>
            <w:r w:rsidR="004E7AA4" w:rsidRPr="004E7AA4">
              <w:rPr>
                <w:bCs/>
                <w:sz w:val="24"/>
                <w:szCs w:val="24"/>
              </w:rPr>
              <w:t xml:space="preserve"> against the immediate preceding year’s taxable income of that sub-fund</w:t>
            </w:r>
            <w:r w:rsidR="00272E5F">
              <w:rPr>
                <w:bCs/>
                <w:sz w:val="24"/>
                <w:szCs w:val="24"/>
              </w:rPr>
              <w:t>;</w:t>
            </w:r>
          </w:p>
          <w:p w:rsidR="004E7AA4" w:rsidRPr="004E7AA4" w:rsidRDefault="004E7AA4" w:rsidP="004E7AA4">
            <w:pPr>
              <w:pStyle w:val="ListParagraph"/>
              <w:rPr>
                <w:bCs/>
                <w:sz w:val="24"/>
                <w:szCs w:val="24"/>
              </w:rPr>
            </w:pPr>
          </w:p>
          <w:p w:rsidR="004E7AA4" w:rsidRDefault="004E7AA4" w:rsidP="004E7AA4">
            <w:pPr>
              <w:pStyle w:val="ListParagraph"/>
              <w:numPr>
                <w:ilvl w:val="0"/>
                <w:numId w:val="43"/>
              </w:numPr>
              <w:jc w:val="both"/>
              <w:rPr>
                <w:bCs/>
                <w:sz w:val="24"/>
                <w:szCs w:val="24"/>
              </w:rPr>
            </w:pPr>
            <w:r w:rsidRPr="004E7AA4">
              <w:rPr>
                <w:bCs/>
                <w:sz w:val="24"/>
                <w:szCs w:val="24"/>
              </w:rPr>
              <w:t xml:space="preserve">The shareholding test and where applicable, the same trade test for the purpose of </w:t>
            </w:r>
            <w:r w:rsidR="00A43D0D">
              <w:rPr>
                <w:bCs/>
                <w:sz w:val="24"/>
                <w:szCs w:val="24"/>
              </w:rPr>
              <w:t xml:space="preserve">the </w:t>
            </w:r>
            <w:r w:rsidRPr="004E7AA4">
              <w:rPr>
                <w:bCs/>
                <w:sz w:val="24"/>
                <w:szCs w:val="24"/>
              </w:rPr>
              <w:t>carry-forward</w:t>
            </w:r>
            <w:r>
              <w:rPr>
                <w:bCs/>
                <w:sz w:val="24"/>
                <w:szCs w:val="24"/>
              </w:rPr>
              <w:t xml:space="preserve"> </w:t>
            </w:r>
            <w:r w:rsidRPr="004E7AA4">
              <w:rPr>
                <w:bCs/>
                <w:sz w:val="24"/>
                <w:szCs w:val="24"/>
              </w:rPr>
              <w:t>/</w:t>
            </w:r>
            <w:r>
              <w:rPr>
                <w:bCs/>
                <w:sz w:val="24"/>
                <w:szCs w:val="24"/>
              </w:rPr>
              <w:t xml:space="preserve"> </w:t>
            </w:r>
            <w:r w:rsidRPr="004E7AA4">
              <w:rPr>
                <w:bCs/>
                <w:sz w:val="24"/>
                <w:szCs w:val="24"/>
              </w:rPr>
              <w:t>carry-back of tax losses will be applied at the sub-fund level</w:t>
            </w:r>
            <w:r w:rsidRPr="004E7AA4">
              <w:rPr>
                <w:rStyle w:val="FootnoteReference"/>
                <w:bCs/>
                <w:sz w:val="24"/>
                <w:szCs w:val="24"/>
              </w:rPr>
              <w:footnoteReference w:id="1"/>
            </w:r>
            <w:r w:rsidR="00272E5F">
              <w:rPr>
                <w:bCs/>
                <w:sz w:val="24"/>
                <w:szCs w:val="24"/>
              </w:rPr>
              <w:t>;</w:t>
            </w:r>
          </w:p>
          <w:p w:rsidR="00EF01FE" w:rsidRPr="00EF01FE" w:rsidRDefault="00EF01FE" w:rsidP="00EF01FE">
            <w:pPr>
              <w:pStyle w:val="ListParagraph"/>
              <w:rPr>
                <w:bCs/>
                <w:sz w:val="24"/>
                <w:szCs w:val="24"/>
              </w:rPr>
            </w:pPr>
          </w:p>
          <w:p w:rsidR="00EF01FE" w:rsidRPr="00172D9F" w:rsidRDefault="00EF01FE" w:rsidP="00EF01FE">
            <w:pPr>
              <w:pStyle w:val="ListParagraph"/>
              <w:numPr>
                <w:ilvl w:val="0"/>
                <w:numId w:val="43"/>
              </w:numPr>
              <w:jc w:val="both"/>
              <w:rPr>
                <w:bCs/>
                <w:sz w:val="24"/>
                <w:szCs w:val="24"/>
              </w:rPr>
            </w:pPr>
            <w:r w:rsidRPr="00172D9F">
              <w:rPr>
                <w:bCs/>
                <w:sz w:val="24"/>
                <w:szCs w:val="24"/>
              </w:rPr>
              <w:t>Foreign tax credit</w:t>
            </w:r>
            <w:r w:rsidR="00A43D0D">
              <w:rPr>
                <w:bCs/>
                <w:sz w:val="24"/>
                <w:szCs w:val="24"/>
              </w:rPr>
              <w:t>s</w:t>
            </w:r>
            <w:r w:rsidRPr="00172D9F">
              <w:rPr>
                <w:bCs/>
                <w:sz w:val="24"/>
                <w:szCs w:val="24"/>
              </w:rPr>
              <w:t xml:space="preserve"> will be allowed at the lower of the Singapore tax attributable to the sub-fund, or the foreign tax paid by the</w:t>
            </w:r>
            <w:r w:rsidR="00272E5F" w:rsidRPr="00172D9F">
              <w:rPr>
                <w:bCs/>
                <w:sz w:val="24"/>
                <w:szCs w:val="24"/>
              </w:rPr>
              <w:t xml:space="preserve"> </w:t>
            </w:r>
            <w:r w:rsidR="00217CEE">
              <w:rPr>
                <w:bCs/>
                <w:sz w:val="24"/>
                <w:szCs w:val="24"/>
              </w:rPr>
              <w:t xml:space="preserve">umbrella </w:t>
            </w:r>
            <w:r w:rsidR="00272E5F" w:rsidRPr="00172D9F">
              <w:rPr>
                <w:bCs/>
                <w:sz w:val="24"/>
                <w:szCs w:val="24"/>
              </w:rPr>
              <w:t>VCC on behalf of that sub-fund; and</w:t>
            </w:r>
          </w:p>
          <w:p w:rsidR="006504A3" w:rsidRPr="006504A3" w:rsidRDefault="006504A3" w:rsidP="006504A3">
            <w:pPr>
              <w:pStyle w:val="ListParagraph"/>
              <w:jc w:val="both"/>
              <w:rPr>
                <w:bCs/>
                <w:sz w:val="24"/>
                <w:szCs w:val="24"/>
              </w:rPr>
            </w:pPr>
          </w:p>
          <w:p w:rsidR="00AF7CB4" w:rsidRPr="006504A3" w:rsidRDefault="005F30DD" w:rsidP="00AF7CB4">
            <w:pPr>
              <w:pStyle w:val="ListParagraph"/>
              <w:numPr>
                <w:ilvl w:val="0"/>
                <w:numId w:val="43"/>
              </w:numPr>
              <w:jc w:val="both"/>
              <w:rPr>
                <w:bCs/>
                <w:sz w:val="24"/>
                <w:szCs w:val="24"/>
              </w:rPr>
            </w:pPr>
            <w:r w:rsidRPr="004E316D">
              <w:rPr>
                <w:rFonts w:eastAsia="DengXian"/>
                <w:sz w:val="24"/>
                <w:lang w:eastAsia="zh-CN"/>
              </w:rPr>
              <w:t xml:space="preserve">The amount </w:t>
            </w:r>
            <w:r w:rsidRPr="006504A3">
              <w:rPr>
                <w:rFonts w:eastAsia="DengXian"/>
                <w:sz w:val="24"/>
                <w:lang w:eastAsia="zh-CN"/>
              </w:rPr>
              <w:t xml:space="preserve">of any corporate income tax attributable to any part of the chargeable income of an umbrella VCC that is income of a sub-fund, and any interest or penalty imposed, </w:t>
            </w:r>
            <w:proofErr w:type="gramStart"/>
            <w:r w:rsidRPr="006504A3">
              <w:rPr>
                <w:rFonts w:eastAsia="DengXian"/>
                <w:sz w:val="24"/>
                <w:lang w:eastAsia="zh-CN"/>
              </w:rPr>
              <w:t>is considered</w:t>
            </w:r>
            <w:proofErr w:type="gramEnd"/>
            <w:r w:rsidRPr="006504A3">
              <w:rPr>
                <w:rFonts w:eastAsia="DengXian"/>
                <w:sz w:val="24"/>
                <w:lang w:eastAsia="zh-CN"/>
              </w:rPr>
              <w:t xml:space="preserve"> liability incurred by the umbrella VCC on behalf of the sub-fund.</w:t>
            </w:r>
            <w:r w:rsidR="0052433D" w:rsidRPr="006504A3">
              <w:rPr>
                <w:rFonts w:eastAsia="DengXian"/>
                <w:sz w:val="24"/>
                <w:lang w:eastAsia="zh-CN"/>
              </w:rPr>
              <w:t xml:space="preserve"> This is for the purpose </w:t>
            </w:r>
            <w:proofErr w:type="gramStart"/>
            <w:r w:rsidR="0052433D" w:rsidRPr="006504A3">
              <w:rPr>
                <w:rFonts w:eastAsia="DengXian"/>
                <w:sz w:val="24"/>
                <w:lang w:eastAsia="zh-CN"/>
              </w:rPr>
              <w:t xml:space="preserve">of </w:t>
            </w:r>
            <w:r w:rsidR="0072171B" w:rsidRPr="006504A3">
              <w:rPr>
                <w:rFonts w:eastAsia="DengXian"/>
                <w:sz w:val="24"/>
                <w:lang w:eastAsia="zh-CN"/>
              </w:rPr>
              <w:t xml:space="preserve"> s</w:t>
            </w:r>
            <w:r w:rsidR="005A75EA" w:rsidRPr="006504A3">
              <w:rPr>
                <w:rFonts w:eastAsia="DengXian"/>
                <w:sz w:val="24"/>
                <w:lang w:eastAsia="zh-CN"/>
              </w:rPr>
              <w:t>ection</w:t>
            </w:r>
            <w:proofErr w:type="gramEnd"/>
            <w:r w:rsidR="0072171B" w:rsidRPr="006504A3">
              <w:rPr>
                <w:rFonts w:eastAsia="DengXian"/>
                <w:sz w:val="24"/>
                <w:lang w:eastAsia="zh-CN"/>
              </w:rPr>
              <w:t xml:space="preserve"> 29(1) of the </w:t>
            </w:r>
            <w:r w:rsidRPr="006504A3">
              <w:rPr>
                <w:rFonts w:eastAsia="DengXian"/>
                <w:sz w:val="24"/>
                <w:lang w:eastAsia="zh-CN"/>
              </w:rPr>
              <w:t>Variable Capital Companies Act</w:t>
            </w:r>
            <w:r w:rsidR="0072171B" w:rsidRPr="006504A3">
              <w:rPr>
                <w:rFonts w:eastAsia="DengXian"/>
                <w:sz w:val="24"/>
                <w:lang w:eastAsia="zh-CN"/>
              </w:rPr>
              <w:t xml:space="preserve"> 2018</w:t>
            </w:r>
            <w:r w:rsidRPr="006504A3">
              <w:rPr>
                <w:rFonts w:eastAsia="DengXian"/>
                <w:sz w:val="24"/>
                <w:lang w:eastAsia="zh-CN"/>
              </w:rPr>
              <w:t xml:space="preserve">, </w:t>
            </w:r>
            <w:r w:rsidR="0052433D" w:rsidRPr="006504A3">
              <w:rPr>
                <w:rFonts w:eastAsia="DengXian"/>
                <w:sz w:val="24"/>
                <w:lang w:eastAsia="zh-CN"/>
              </w:rPr>
              <w:t>with the effe</w:t>
            </w:r>
            <w:r w:rsidR="00CC1101">
              <w:rPr>
                <w:rFonts w:eastAsia="DengXian"/>
                <w:sz w:val="24"/>
                <w:lang w:eastAsia="zh-CN"/>
              </w:rPr>
              <w:t xml:space="preserve">ct that </w:t>
            </w:r>
            <w:r w:rsidRPr="006504A3">
              <w:rPr>
                <w:rFonts w:eastAsia="DengXian"/>
                <w:sz w:val="24"/>
                <w:lang w:eastAsia="zh-CN"/>
              </w:rPr>
              <w:t xml:space="preserve">the tax attributable to the income of a sub-fund </w:t>
            </w:r>
            <w:r w:rsidR="0072171B" w:rsidRPr="006504A3">
              <w:rPr>
                <w:rFonts w:eastAsia="DengXian"/>
                <w:sz w:val="24"/>
                <w:lang w:eastAsia="zh-CN"/>
              </w:rPr>
              <w:t>w</w:t>
            </w:r>
            <w:r w:rsidRPr="006504A3">
              <w:rPr>
                <w:rFonts w:eastAsia="DengXian"/>
                <w:sz w:val="24"/>
                <w:lang w:eastAsia="zh-CN"/>
              </w:rPr>
              <w:t>ould be d</w:t>
            </w:r>
            <w:r w:rsidRPr="00CC1101">
              <w:rPr>
                <w:rFonts w:eastAsia="DengXian"/>
                <w:sz w:val="24"/>
                <w:lang w:eastAsia="zh-CN"/>
              </w:rPr>
              <w:t>i</w:t>
            </w:r>
            <w:r w:rsidRPr="006504A3">
              <w:rPr>
                <w:rFonts w:eastAsia="DengXian"/>
                <w:sz w:val="24"/>
                <w:lang w:eastAsia="zh-CN"/>
              </w:rPr>
              <w:t xml:space="preserve">scharged solely out of the assets of that sub-fund, </w:t>
            </w:r>
            <w:r w:rsidR="0072171B" w:rsidRPr="006504A3">
              <w:rPr>
                <w:rFonts w:eastAsia="DengXian"/>
                <w:sz w:val="24"/>
                <w:lang w:eastAsia="zh-CN"/>
              </w:rPr>
              <w:t xml:space="preserve">including </w:t>
            </w:r>
            <w:r w:rsidRPr="006504A3">
              <w:rPr>
                <w:rFonts w:eastAsia="DengXian"/>
                <w:sz w:val="24"/>
                <w:lang w:eastAsia="zh-CN"/>
              </w:rPr>
              <w:t>in the winding up of the sub-fund.</w:t>
            </w:r>
          </w:p>
          <w:p w:rsidR="004E316D" w:rsidRPr="006504A3" w:rsidRDefault="004E316D" w:rsidP="004E316D">
            <w:pPr>
              <w:pStyle w:val="ListParagraph"/>
              <w:rPr>
                <w:bCs/>
                <w:sz w:val="24"/>
                <w:szCs w:val="24"/>
              </w:rPr>
            </w:pPr>
          </w:p>
          <w:p w:rsidR="004E316D" w:rsidRPr="006504A3" w:rsidRDefault="0044526C" w:rsidP="004E316D">
            <w:pPr>
              <w:pStyle w:val="ListParagraph"/>
              <w:jc w:val="both"/>
              <w:rPr>
                <w:bCs/>
                <w:sz w:val="24"/>
                <w:szCs w:val="24"/>
              </w:rPr>
            </w:pPr>
            <w:r>
              <w:rPr>
                <w:bCs/>
                <w:sz w:val="24"/>
                <w:szCs w:val="24"/>
              </w:rPr>
              <w:t xml:space="preserve">If the fine or </w:t>
            </w:r>
            <w:r w:rsidR="004E316D" w:rsidRPr="006504A3">
              <w:rPr>
                <w:bCs/>
                <w:sz w:val="24"/>
                <w:szCs w:val="24"/>
              </w:rPr>
              <w:t xml:space="preserve">penalty cannot be attributable to any sub-fund, the liability incurred by the VCC </w:t>
            </w:r>
            <w:proofErr w:type="gramStart"/>
            <w:r w:rsidR="004E316D" w:rsidRPr="006504A3">
              <w:rPr>
                <w:bCs/>
                <w:sz w:val="24"/>
                <w:szCs w:val="24"/>
              </w:rPr>
              <w:t>will be considered</w:t>
            </w:r>
            <w:proofErr w:type="gramEnd"/>
            <w:r w:rsidR="004E316D" w:rsidRPr="006504A3">
              <w:rPr>
                <w:bCs/>
                <w:sz w:val="24"/>
                <w:szCs w:val="24"/>
              </w:rPr>
              <w:t xml:space="preserve"> as incurred on behalf of all of its sub-funds. Hence, under section 29(3)</w:t>
            </w:r>
            <w:r w:rsidR="006504A3">
              <w:rPr>
                <w:bCs/>
                <w:sz w:val="24"/>
                <w:szCs w:val="24"/>
              </w:rPr>
              <w:t xml:space="preserve"> of the </w:t>
            </w:r>
            <w:r w:rsidR="006504A3" w:rsidRPr="006504A3">
              <w:rPr>
                <w:rFonts w:eastAsia="DengXian"/>
                <w:sz w:val="24"/>
                <w:lang w:eastAsia="zh-CN"/>
              </w:rPr>
              <w:t>Variable Capital Companies Act 2018</w:t>
            </w:r>
            <w:r w:rsidR="004E316D" w:rsidRPr="006504A3">
              <w:rPr>
                <w:bCs/>
                <w:sz w:val="24"/>
                <w:szCs w:val="24"/>
              </w:rPr>
              <w:t>, the umbrella VCC may allocate this liability between its sub-funds in a manner that it considers fair to shareholders.</w:t>
            </w:r>
          </w:p>
          <w:p w:rsidR="004E7AA4" w:rsidRPr="006504A3" w:rsidRDefault="004E7AA4" w:rsidP="004E7AA4">
            <w:pPr>
              <w:autoSpaceDE w:val="0"/>
              <w:autoSpaceDN w:val="0"/>
              <w:adjustRightInd w:val="0"/>
              <w:jc w:val="both"/>
            </w:pPr>
          </w:p>
          <w:p w:rsidR="00AF7CB4" w:rsidRPr="00172D9F" w:rsidRDefault="00AF7CB4" w:rsidP="004E7AA4">
            <w:pPr>
              <w:autoSpaceDE w:val="0"/>
              <w:autoSpaceDN w:val="0"/>
              <w:adjustRightInd w:val="0"/>
              <w:jc w:val="both"/>
            </w:pPr>
            <w:r w:rsidRPr="006504A3">
              <w:t>In addition, as each sub-fund</w:t>
            </w:r>
            <w:r w:rsidRPr="00172D9F">
              <w:t xml:space="preserve"> can have different sets of investors and investment objectives, the following CIT rules will be applied at the sub-fund level:</w:t>
            </w:r>
          </w:p>
          <w:p w:rsidR="00AF7CB4" w:rsidRPr="00172D9F" w:rsidRDefault="00AF7CB4" w:rsidP="004E7AA4">
            <w:pPr>
              <w:autoSpaceDE w:val="0"/>
              <w:autoSpaceDN w:val="0"/>
              <w:adjustRightInd w:val="0"/>
              <w:jc w:val="both"/>
            </w:pPr>
          </w:p>
          <w:p w:rsidR="006504A3" w:rsidRDefault="005508B4" w:rsidP="006504A3">
            <w:pPr>
              <w:pStyle w:val="ListParagraph"/>
              <w:numPr>
                <w:ilvl w:val="0"/>
                <w:numId w:val="46"/>
              </w:numPr>
              <w:jc w:val="both"/>
              <w:rPr>
                <w:bCs/>
                <w:sz w:val="24"/>
                <w:szCs w:val="24"/>
              </w:rPr>
            </w:pPr>
            <w:r>
              <w:rPr>
                <w:bCs/>
                <w:sz w:val="24"/>
                <w:szCs w:val="24"/>
              </w:rPr>
              <w:t>T</w:t>
            </w:r>
            <w:r w:rsidRPr="00172D9F">
              <w:rPr>
                <w:bCs/>
                <w:sz w:val="24"/>
                <w:szCs w:val="24"/>
              </w:rPr>
              <w:t xml:space="preserve">ax </w:t>
            </w:r>
            <w:r w:rsidR="00AF7CB4" w:rsidRPr="00172D9F">
              <w:rPr>
                <w:bCs/>
                <w:sz w:val="24"/>
                <w:szCs w:val="24"/>
              </w:rPr>
              <w:t>exemption of gains or profits from disposal of ordinary shares under section 13Z of the ITA</w:t>
            </w:r>
            <w:r w:rsidR="00272E5F" w:rsidRPr="00172D9F">
              <w:rPr>
                <w:bCs/>
                <w:sz w:val="24"/>
                <w:szCs w:val="24"/>
              </w:rPr>
              <w:t>; and</w:t>
            </w:r>
          </w:p>
          <w:p w:rsidR="006504A3" w:rsidRDefault="006504A3" w:rsidP="006504A3">
            <w:pPr>
              <w:pStyle w:val="ListParagraph"/>
              <w:jc w:val="both"/>
              <w:rPr>
                <w:bCs/>
                <w:sz w:val="24"/>
                <w:szCs w:val="24"/>
              </w:rPr>
            </w:pPr>
          </w:p>
          <w:p w:rsidR="00AF7CB4" w:rsidRPr="006504A3" w:rsidRDefault="00AF7CB4" w:rsidP="006504A3">
            <w:pPr>
              <w:pStyle w:val="ListParagraph"/>
              <w:numPr>
                <w:ilvl w:val="0"/>
                <w:numId w:val="46"/>
              </w:numPr>
              <w:jc w:val="both"/>
              <w:rPr>
                <w:bCs/>
                <w:sz w:val="24"/>
                <w:szCs w:val="24"/>
              </w:rPr>
            </w:pPr>
            <w:proofErr w:type="gramStart"/>
            <w:r w:rsidRPr="006504A3">
              <w:rPr>
                <w:sz w:val="24"/>
                <w:szCs w:val="24"/>
              </w:rPr>
              <w:t xml:space="preserve">References to “related party” </w:t>
            </w:r>
            <w:r w:rsidR="003E5AEB" w:rsidRPr="006504A3">
              <w:rPr>
                <w:sz w:val="24"/>
                <w:szCs w:val="24"/>
              </w:rPr>
              <w:t>for the purposes of transfer pricing rules</w:t>
            </w:r>
            <w:r w:rsidRPr="006504A3">
              <w:rPr>
                <w:sz w:val="24"/>
                <w:szCs w:val="24"/>
              </w:rPr>
              <w:t>.</w:t>
            </w:r>
            <w:proofErr w:type="gramEnd"/>
            <w:r w:rsidRPr="006504A3">
              <w:rPr>
                <w:sz w:val="24"/>
                <w:szCs w:val="24"/>
              </w:rPr>
              <w:t xml:space="preserve"> </w:t>
            </w:r>
          </w:p>
          <w:p w:rsidR="00427B58" w:rsidRDefault="00427B58" w:rsidP="004E7AA4">
            <w:pPr>
              <w:autoSpaceDE w:val="0"/>
              <w:autoSpaceDN w:val="0"/>
              <w:adjustRightInd w:val="0"/>
              <w:jc w:val="both"/>
            </w:pPr>
          </w:p>
        </w:tc>
        <w:tc>
          <w:tcPr>
            <w:tcW w:w="763" w:type="pct"/>
          </w:tcPr>
          <w:p w:rsidR="004E7AA4" w:rsidRPr="00A723F3" w:rsidRDefault="0044526C" w:rsidP="00EF22A4">
            <w:r>
              <w:t>2 and 3</w:t>
            </w:r>
          </w:p>
        </w:tc>
      </w:tr>
      <w:tr w:rsidR="00D27C08" w:rsidRPr="00A723F3" w:rsidTr="000A0BB8">
        <w:trPr>
          <w:jc w:val="center"/>
        </w:trPr>
        <w:tc>
          <w:tcPr>
            <w:tcW w:w="310" w:type="pct"/>
          </w:tcPr>
          <w:p w:rsidR="00D27C08" w:rsidRPr="00A723F3" w:rsidRDefault="00D27C08" w:rsidP="00EF22A4">
            <w:pPr>
              <w:widowControl w:val="0"/>
              <w:numPr>
                <w:ilvl w:val="0"/>
                <w:numId w:val="2"/>
              </w:numPr>
              <w:rPr>
                <w:rFonts w:eastAsia="PMingLiU"/>
                <w:b/>
              </w:rPr>
            </w:pPr>
          </w:p>
        </w:tc>
        <w:tc>
          <w:tcPr>
            <w:tcW w:w="1237" w:type="pct"/>
            <w:shd w:val="clear" w:color="auto" w:fill="auto"/>
          </w:tcPr>
          <w:p w:rsidR="00D27C08" w:rsidRDefault="00D27C08" w:rsidP="00EF22A4">
            <w:pPr>
              <w:widowControl w:val="0"/>
              <w:jc w:val="both"/>
              <w:rPr>
                <w:color w:val="000000"/>
              </w:rPr>
            </w:pPr>
            <w:r>
              <w:rPr>
                <w:color w:val="000000"/>
              </w:rPr>
              <w:t>Re-domiciliation of VCCs</w:t>
            </w:r>
          </w:p>
        </w:tc>
        <w:tc>
          <w:tcPr>
            <w:tcW w:w="2690" w:type="pct"/>
          </w:tcPr>
          <w:p w:rsidR="0018015C" w:rsidRDefault="0018015C" w:rsidP="00AD055E">
            <w:pPr>
              <w:autoSpaceDE w:val="0"/>
              <w:autoSpaceDN w:val="0"/>
              <w:adjustRightInd w:val="0"/>
              <w:jc w:val="both"/>
            </w:pPr>
            <w:r w:rsidRPr="0018015C">
              <w:t xml:space="preserve">The tax framework for re-domiciliation of companies into Singapore </w:t>
            </w:r>
            <w:proofErr w:type="gramStart"/>
            <w:r w:rsidRPr="0018015C">
              <w:t>will</w:t>
            </w:r>
            <w:r w:rsidR="00FE379C">
              <w:t>, with necessary modifications,</w:t>
            </w:r>
            <w:r w:rsidRPr="0018015C">
              <w:t xml:space="preserve"> be extended</w:t>
            </w:r>
            <w:proofErr w:type="gramEnd"/>
            <w:r w:rsidRPr="0018015C">
              <w:t xml:space="preserve"> to the re-domiciliation of VCCs</w:t>
            </w:r>
            <w:r w:rsidR="00FE379C">
              <w:t>.</w:t>
            </w:r>
          </w:p>
          <w:p w:rsidR="006504A3" w:rsidRDefault="006504A3" w:rsidP="00AD055E">
            <w:pPr>
              <w:autoSpaceDE w:val="0"/>
              <w:autoSpaceDN w:val="0"/>
              <w:adjustRightInd w:val="0"/>
              <w:jc w:val="both"/>
            </w:pPr>
          </w:p>
        </w:tc>
        <w:tc>
          <w:tcPr>
            <w:tcW w:w="763" w:type="pct"/>
          </w:tcPr>
          <w:p w:rsidR="00D27C08" w:rsidRPr="00A723F3" w:rsidRDefault="0044526C" w:rsidP="00EF22A4">
            <w:r>
              <w:t>2</w:t>
            </w:r>
          </w:p>
        </w:tc>
      </w:tr>
    </w:tbl>
    <w:p w:rsidR="00F9239B" w:rsidRDefault="00F9239B">
      <w:pPr>
        <w:rPr>
          <w:b/>
        </w:rPr>
      </w:pPr>
      <w:r>
        <w:rPr>
          <w:b/>
        </w:rPr>
        <w:br w:type="page"/>
      </w:r>
    </w:p>
    <w:p w:rsidR="005B13DF" w:rsidRPr="00172D9F" w:rsidRDefault="00982A38" w:rsidP="009D0A8D">
      <w:pPr>
        <w:rPr>
          <w:b/>
        </w:rPr>
      </w:pPr>
      <w:r>
        <w:rPr>
          <w:b/>
        </w:rPr>
        <w:t xml:space="preserve">Annex </w:t>
      </w:r>
      <w:r w:rsidR="009D0A8D" w:rsidRPr="00172D9F">
        <w:rPr>
          <w:b/>
        </w:rPr>
        <w:t xml:space="preserve">– </w:t>
      </w:r>
      <w:proofErr w:type="gramStart"/>
      <w:r w:rsidR="00EF01FE" w:rsidRPr="00172D9F">
        <w:rPr>
          <w:b/>
        </w:rPr>
        <w:t>Schemes</w:t>
      </w:r>
      <w:r w:rsidR="009D0A8D" w:rsidRPr="00172D9F">
        <w:rPr>
          <w:b/>
        </w:rPr>
        <w:t xml:space="preserve"> which</w:t>
      </w:r>
      <w:proofErr w:type="gramEnd"/>
      <w:r w:rsidR="009D0A8D" w:rsidRPr="00172D9F">
        <w:rPr>
          <w:b/>
        </w:rPr>
        <w:t xml:space="preserve"> will not be applicable for VCCs</w:t>
      </w:r>
    </w:p>
    <w:p w:rsidR="009D0A8D" w:rsidRPr="00172D9F" w:rsidRDefault="009D0A8D" w:rsidP="009D0A8D">
      <w:pPr>
        <w:rPr>
          <w:b/>
        </w:rPr>
      </w:pP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14A.</w:t>
      </w:r>
      <w:r w:rsidRPr="00172D9F">
        <w:rPr>
          <w:rFonts w:eastAsia="SimSun"/>
          <w:color w:val="000000"/>
          <w:sz w:val="23"/>
          <w:szCs w:val="23"/>
          <w:lang w:val="en-SG" w:eastAsia="en-SG"/>
        </w:rPr>
        <w:tab/>
        <w:t xml:space="preserve">Deduction for costs for protecting intellectual property </w:t>
      </w:r>
    </w:p>
    <w:p w:rsidR="009D0A8D" w:rsidRPr="00172D9F" w:rsidRDefault="009D0A8D" w:rsidP="00143326">
      <w:pPr>
        <w:autoSpaceDE w:val="0"/>
        <w:autoSpaceDN w:val="0"/>
        <w:adjustRightInd w:val="0"/>
        <w:ind w:left="709" w:hanging="709"/>
        <w:rPr>
          <w:rFonts w:eastAsia="SimSun"/>
          <w:color w:val="000000"/>
          <w:sz w:val="23"/>
          <w:szCs w:val="23"/>
          <w:lang w:val="en-SG" w:eastAsia="en-SG"/>
        </w:rPr>
      </w:pPr>
      <w:r w:rsidRPr="00172D9F">
        <w:rPr>
          <w:rFonts w:eastAsia="SimSun"/>
          <w:color w:val="000000"/>
          <w:sz w:val="23"/>
          <w:szCs w:val="23"/>
          <w:lang w:val="en-SG" w:eastAsia="en-SG"/>
        </w:rPr>
        <w:t xml:space="preserve">14B. </w:t>
      </w:r>
      <w:r w:rsidRPr="00172D9F">
        <w:rPr>
          <w:rFonts w:eastAsia="SimSun"/>
          <w:color w:val="000000"/>
          <w:sz w:val="23"/>
          <w:szCs w:val="23"/>
          <w:lang w:val="en-SG" w:eastAsia="en-SG"/>
        </w:rPr>
        <w:tab/>
      </w:r>
      <w:proofErr w:type="gramStart"/>
      <w:r w:rsidRPr="00172D9F">
        <w:rPr>
          <w:rFonts w:eastAsia="SimSun"/>
          <w:color w:val="000000"/>
          <w:sz w:val="23"/>
          <w:szCs w:val="23"/>
          <w:lang w:val="en-SG" w:eastAsia="en-SG"/>
        </w:rPr>
        <w:t>Further</w:t>
      </w:r>
      <w:proofErr w:type="gramEnd"/>
      <w:r w:rsidRPr="00172D9F">
        <w:rPr>
          <w:rFonts w:eastAsia="SimSun"/>
          <w:color w:val="000000"/>
          <w:sz w:val="23"/>
          <w:szCs w:val="23"/>
          <w:lang w:val="en-SG" w:eastAsia="en-SG"/>
        </w:rPr>
        <w:t xml:space="preserve"> deduction for expenses relating to approved trade fairs, exhibitions or trade missions or to maintenance of overseas trade office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14D. </w:t>
      </w:r>
      <w:r w:rsidRPr="00172D9F">
        <w:rPr>
          <w:rFonts w:eastAsia="SimSun"/>
          <w:color w:val="000000"/>
          <w:sz w:val="23"/>
          <w:szCs w:val="23"/>
          <w:lang w:val="en-SG" w:eastAsia="en-SG"/>
        </w:rPr>
        <w:tab/>
        <w:t xml:space="preserve">Expenditure on research and development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14DA. </w:t>
      </w:r>
      <w:r w:rsidRPr="00172D9F">
        <w:rPr>
          <w:rFonts w:eastAsia="SimSun"/>
          <w:color w:val="000000"/>
          <w:sz w:val="23"/>
          <w:szCs w:val="23"/>
          <w:lang w:val="en-SG" w:eastAsia="en-SG"/>
        </w:rPr>
        <w:tab/>
        <w:t xml:space="preserve">Enhanced deduction for qualifying expenditure on research and development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14E. </w:t>
      </w:r>
      <w:r w:rsidRPr="00172D9F">
        <w:rPr>
          <w:rFonts w:eastAsia="SimSun"/>
          <w:color w:val="000000"/>
          <w:sz w:val="23"/>
          <w:szCs w:val="23"/>
          <w:lang w:val="en-SG" w:eastAsia="en-SG"/>
        </w:rPr>
        <w:tab/>
      </w:r>
      <w:proofErr w:type="gramStart"/>
      <w:r w:rsidRPr="00172D9F">
        <w:rPr>
          <w:rFonts w:eastAsia="SimSun"/>
          <w:color w:val="000000"/>
          <w:sz w:val="23"/>
          <w:szCs w:val="23"/>
          <w:lang w:val="en-SG" w:eastAsia="en-SG"/>
        </w:rPr>
        <w:t>Further</w:t>
      </w:r>
      <w:proofErr w:type="gramEnd"/>
      <w:r w:rsidRPr="00172D9F">
        <w:rPr>
          <w:rFonts w:eastAsia="SimSun"/>
          <w:color w:val="000000"/>
          <w:sz w:val="23"/>
          <w:szCs w:val="23"/>
          <w:lang w:val="en-SG" w:eastAsia="en-SG"/>
        </w:rPr>
        <w:t xml:space="preserve"> deduction for expenditure on research and development project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14F. </w:t>
      </w:r>
      <w:r w:rsidRPr="00172D9F">
        <w:rPr>
          <w:rFonts w:eastAsia="SimSun"/>
          <w:color w:val="000000"/>
          <w:sz w:val="23"/>
          <w:szCs w:val="23"/>
          <w:lang w:val="en-SG" w:eastAsia="en-SG"/>
        </w:rPr>
        <w:tab/>
        <w:t xml:space="preserve">Management expenses of investment companies </w:t>
      </w:r>
    </w:p>
    <w:p w:rsidR="009D0A8D" w:rsidRPr="00172D9F" w:rsidRDefault="009D0A8D" w:rsidP="009D0A8D">
      <w:pPr>
        <w:autoSpaceDE w:val="0"/>
        <w:autoSpaceDN w:val="0"/>
        <w:adjustRightInd w:val="0"/>
        <w:rPr>
          <w:rFonts w:eastAsia="SimSun"/>
          <w:color w:val="000000"/>
          <w:sz w:val="23"/>
          <w:szCs w:val="23"/>
          <w:lang w:val="en-SG" w:eastAsia="en-SG"/>
        </w:rPr>
      </w:pPr>
      <w:proofErr w:type="gramStart"/>
      <w:r w:rsidRPr="00172D9F">
        <w:rPr>
          <w:rFonts w:eastAsia="SimSun"/>
          <w:color w:val="000000"/>
          <w:sz w:val="23"/>
          <w:szCs w:val="23"/>
          <w:lang w:val="en-SG" w:eastAsia="en-SG"/>
        </w:rPr>
        <w:t>14</w:t>
      </w:r>
      <w:proofErr w:type="gramEnd"/>
      <w:r w:rsidRPr="00172D9F">
        <w:rPr>
          <w:rFonts w:eastAsia="SimSun"/>
          <w:color w:val="000000"/>
          <w:sz w:val="23"/>
          <w:szCs w:val="23"/>
          <w:lang w:val="en-SG" w:eastAsia="en-SG"/>
        </w:rPr>
        <w:t xml:space="preserve">H. </w:t>
      </w:r>
      <w:r w:rsidRPr="00172D9F">
        <w:rPr>
          <w:rFonts w:eastAsia="SimSun"/>
          <w:color w:val="000000"/>
          <w:sz w:val="23"/>
          <w:szCs w:val="23"/>
          <w:lang w:val="en-SG" w:eastAsia="en-SG"/>
        </w:rPr>
        <w:tab/>
        <w:t xml:space="preserve">Expenditure on building modifications for benefit of disabled employees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14I. </w:t>
      </w:r>
      <w:r w:rsidRPr="00172D9F">
        <w:rPr>
          <w:rFonts w:eastAsia="SimSun"/>
          <w:color w:val="000000"/>
          <w:sz w:val="23"/>
          <w:szCs w:val="23"/>
          <w:lang w:val="en-SG" w:eastAsia="en-SG"/>
        </w:rPr>
        <w:tab/>
        <w:t xml:space="preserve">Provisions by banks and qualifying finance companies for doubtful debts and diminution in value of investments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14K. </w:t>
      </w:r>
      <w:r w:rsidRPr="00172D9F">
        <w:rPr>
          <w:rFonts w:eastAsia="SimSun"/>
          <w:color w:val="000000"/>
          <w:sz w:val="23"/>
          <w:szCs w:val="23"/>
          <w:lang w:val="en-SG" w:eastAsia="en-SG"/>
        </w:rPr>
        <w:tab/>
        <w:t xml:space="preserve">Further or double deduction for overseas investment development expenditure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14KA. </w:t>
      </w:r>
      <w:r w:rsidRPr="00172D9F">
        <w:rPr>
          <w:rFonts w:eastAsia="SimSun"/>
          <w:color w:val="000000"/>
          <w:sz w:val="23"/>
          <w:szCs w:val="23"/>
          <w:lang w:val="en-SG" w:eastAsia="en-SG"/>
        </w:rPr>
        <w:tab/>
        <w:t xml:space="preserve">Further or double deduction for salary expenditure for employees posted overseas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14L. </w:t>
      </w:r>
      <w:r w:rsidRPr="00172D9F">
        <w:rPr>
          <w:rFonts w:eastAsia="SimSun"/>
          <w:color w:val="000000"/>
          <w:sz w:val="23"/>
          <w:szCs w:val="23"/>
          <w:lang w:val="en-SG" w:eastAsia="en-SG"/>
        </w:rPr>
        <w:tab/>
      </w:r>
      <w:proofErr w:type="gramStart"/>
      <w:r w:rsidRPr="00172D9F">
        <w:rPr>
          <w:rFonts w:eastAsia="SimSun"/>
          <w:color w:val="000000"/>
          <w:sz w:val="23"/>
          <w:szCs w:val="23"/>
          <w:lang w:val="en-SG" w:eastAsia="en-SG"/>
        </w:rPr>
        <w:t>Further</w:t>
      </w:r>
      <w:proofErr w:type="gramEnd"/>
      <w:r w:rsidRPr="00172D9F">
        <w:rPr>
          <w:rFonts w:eastAsia="SimSun"/>
          <w:color w:val="000000"/>
          <w:sz w:val="23"/>
          <w:szCs w:val="23"/>
          <w:lang w:val="en-SG" w:eastAsia="en-SG"/>
        </w:rPr>
        <w:t xml:space="preserve"> deduction for expenses incurred in relocation or recruitment of overseas talent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14N. </w:t>
      </w:r>
      <w:r w:rsidRPr="00172D9F">
        <w:rPr>
          <w:rFonts w:eastAsia="SimSun"/>
          <w:color w:val="000000"/>
          <w:sz w:val="23"/>
          <w:szCs w:val="23"/>
          <w:lang w:val="en-SG" w:eastAsia="en-SG"/>
        </w:rPr>
        <w:tab/>
        <w:t xml:space="preserve">Deduction for upfront land premium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14O. </w:t>
      </w:r>
      <w:r w:rsidRPr="00172D9F">
        <w:rPr>
          <w:rFonts w:eastAsia="SimSun"/>
          <w:color w:val="000000"/>
          <w:sz w:val="23"/>
          <w:szCs w:val="23"/>
          <w:lang w:val="en-SG" w:eastAsia="en-SG"/>
        </w:rPr>
        <w:tab/>
        <w:t xml:space="preserve">Deduction for special reserve of approved general insurer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14P. </w:t>
      </w:r>
      <w:r w:rsidRPr="00172D9F">
        <w:rPr>
          <w:rFonts w:eastAsia="SimSun"/>
          <w:color w:val="000000"/>
          <w:sz w:val="23"/>
          <w:szCs w:val="23"/>
          <w:lang w:val="en-SG" w:eastAsia="en-SG"/>
        </w:rPr>
        <w:tab/>
        <w:t xml:space="preserve">Deduction for treasury shares transferred under employee equity-based remuneration scheme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14PA. </w:t>
      </w:r>
      <w:r w:rsidRPr="00172D9F">
        <w:rPr>
          <w:rFonts w:eastAsia="SimSun"/>
          <w:color w:val="000000"/>
          <w:sz w:val="23"/>
          <w:szCs w:val="23"/>
          <w:lang w:val="en-SG" w:eastAsia="en-SG"/>
        </w:rPr>
        <w:tab/>
        <w:t xml:space="preserve">Deduction for shares transferred by special purpose vehicle under employee equity-based remuneration scheme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14Q. </w:t>
      </w:r>
      <w:r w:rsidRPr="00172D9F">
        <w:rPr>
          <w:rFonts w:eastAsia="SimSun"/>
          <w:color w:val="000000"/>
          <w:sz w:val="23"/>
          <w:szCs w:val="23"/>
          <w:lang w:val="en-SG" w:eastAsia="en-SG"/>
        </w:rPr>
        <w:tab/>
        <w:t xml:space="preserve">Deduction for renovation or refurbishment expenditure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14R. </w:t>
      </w:r>
      <w:r w:rsidRPr="00172D9F">
        <w:rPr>
          <w:rFonts w:eastAsia="SimSun"/>
          <w:color w:val="000000"/>
          <w:sz w:val="23"/>
          <w:szCs w:val="23"/>
          <w:lang w:val="en-SG" w:eastAsia="en-SG"/>
        </w:rPr>
        <w:tab/>
        <w:t xml:space="preserve">Deduction for qualifying training expenditure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14S. </w:t>
      </w:r>
      <w:r w:rsidRPr="00172D9F">
        <w:rPr>
          <w:rFonts w:eastAsia="SimSun"/>
          <w:color w:val="000000"/>
          <w:sz w:val="23"/>
          <w:szCs w:val="23"/>
          <w:lang w:val="en-SG" w:eastAsia="en-SG"/>
        </w:rPr>
        <w:tab/>
        <w:t xml:space="preserve">Deduction for qualifying design expenditure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14V. </w:t>
      </w:r>
      <w:r w:rsidRPr="00172D9F">
        <w:rPr>
          <w:rFonts w:eastAsia="SimSun"/>
          <w:color w:val="000000"/>
          <w:sz w:val="23"/>
          <w:szCs w:val="23"/>
          <w:lang w:val="en-SG" w:eastAsia="en-SG"/>
        </w:rPr>
        <w:tab/>
        <w:t xml:space="preserve">Deduction for amortisation of intangible asset created under public-private partnership arrangement </w:t>
      </w:r>
    </w:p>
    <w:p w:rsidR="009D0A8D" w:rsidRPr="00172D9F" w:rsidRDefault="009D0A8D" w:rsidP="009D0A8D">
      <w:pPr>
        <w:autoSpaceDE w:val="0"/>
        <w:autoSpaceDN w:val="0"/>
        <w:adjustRightInd w:val="0"/>
        <w:rPr>
          <w:rFonts w:eastAsia="SimSun"/>
          <w:color w:val="000000"/>
          <w:sz w:val="23"/>
          <w:szCs w:val="23"/>
          <w:lang w:val="en-SG" w:eastAsia="en-SG"/>
        </w:rPr>
      </w:pPr>
      <w:r w:rsidRPr="00172D9F">
        <w:rPr>
          <w:rFonts w:eastAsia="SimSun"/>
          <w:color w:val="000000"/>
          <w:sz w:val="23"/>
          <w:szCs w:val="23"/>
          <w:lang w:val="en-SG" w:eastAsia="en-SG"/>
        </w:rPr>
        <w:t xml:space="preserve">14WA. Enhanced deduction for expenditure on licensing intellectual property rights </w:t>
      </w:r>
    </w:p>
    <w:p w:rsidR="00C23036" w:rsidRPr="00172D9F" w:rsidRDefault="00C23036" w:rsidP="00C23036">
      <w:pPr>
        <w:pStyle w:val="Default"/>
        <w:rPr>
          <w:sz w:val="23"/>
          <w:szCs w:val="23"/>
          <w:lang w:val="en-SG" w:eastAsia="en-SG"/>
        </w:rPr>
      </w:pPr>
      <w:r w:rsidRPr="00172D9F">
        <w:rPr>
          <w:sz w:val="23"/>
          <w:szCs w:val="23"/>
          <w:lang w:val="en-SG" w:eastAsia="en-SG"/>
        </w:rPr>
        <w:t>14ZB.</w:t>
      </w:r>
      <w:r w:rsidRPr="00172D9F">
        <w:rPr>
          <w:sz w:val="23"/>
          <w:szCs w:val="23"/>
          <w:lang w:val="en-SG" w:eastAsia="en-SG"/>
        </w:rPr>
        <w:tab/>
        <w:t xml:space="preserve">Deduction for expenditure for services or secondment to institutions of a public character </w:t>
      </w:r>
    </w:p>
    <w:p w:rsidR="00EF01FE" w:rsidRPr="00172D9F" w:rsidRDefault="00EF01FE" w:rsidP="00C23036">
      <w:pPr>
        <w:pStyle w:val="Default"/>
        <w:rPr>
          <w:sz w:val="23"/>
          <w:szCs w:val="23"/>
          <w:lang w:val="en-SG" w:eastAsia="en-SG"/>
        </w:rPr>
      </w:pPr>
      <w:r w:rsidRPr="00172D9F">
        <w:rPr>
          <w:sz w:val="23"/>
          <w:szCs w:val="23"/>
          <w:lang w:val="en-SG" w:eastAsia="en-SG"/>
        </w:rPr>
        <w:t>37C.</w:t>
      </w:r>
      <w:r w:rsidRPr="00172D9F">
        <w:rPr>
          <w:sz w:val="23"/>
          <w:szCs w:val="23"/>
          <w:lang w:val="en-SG" w:eastAsia="en-SG"/>
        </w:rPr>
        <w:tab/>
        <w:t>Group relief for Singapore companies</w:t>
      </w:r>
    </w:p>
    <w:p w:rsidR="00EF01FE" w:rsidRPr="00C23036" w:rsidRDefault="00EF01FE" w:rsidP="00C23036">
      <w:pPr>
        <w:pStyle w:val="Default"/>
        <w:rPr>
          <w:sz w:val="23"/>
          <w:szCs w:val="23"/>
          <w:lang w:val="en-SG" w:eastAsia="en-SG"/>
        </w:rPr>
      </w:pPr>
      <w:r w:rsidRPr="00172D9F">
        <w:rPr>
          <w:sz w:val="23"/>
          <w:szCs w:val="23"/>
          <w:lang w:val="en-SG" w:eastAsia="en-SG"/>
        </w:rPr>
        <w:t>37L.</w:t>
      </w:r>
      <w:r w:rsidRPr="00172D9F">
        <w:rPr>
          <w:sz w:val="23"/>
          <w:szCs w:val="23"/>
          <w:lang w:val="en-SG" w:eastAsia="en-SG"/>
        </w:rPr>
        <w:tab/>
        <w:t>Deduction for acquisition of shares of companies</w:t>
      </w:r>
    </w:p>
    <w:p w:rsidR="00C23036" w:rsidRPr="009D0A8D" w:rsidRDefault="00C23036" w:rsidP="009D0A8D">
      <w:pPr>
        <w:autoSpaceDE w:val="0"/>
        <w:autoSpaceDN w:val="0"/>
        <w:adjustRightInd w:val="0"/>
        <w:rPr>
          <w:rFonts w:eastAsia="SimSun"/>
          <w:color w:val="000000"/>
          <w:sz w:val="23"/>
          <w:szCs w:val="23"/>
          <w:lang w:val="en-SG" w:eastAsia="en-SG"/>
        </w:rPr>
      </w:pPr>
    </w:p>
    <w:p w:rsidR="009D0A8D" w:rsidRPr="009D0A8D" w:rsidRDefault="009D0A8D" w:rsidP="009D0A8D">
      <w:pPr>
        <w:rPr>
          <w:b/>
        </w:rPr>
      </w:pPr>
    </w:p>
    <w:sectPr w:rsidR="009D0A8D" w:rsidRPr="009D0A8D" w:rsidSect="00860C1A">
      <w:footerReference w:type="even" r:id="rId13"/>
      <w:footerReference w:type="default" r:id="rId1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323" w:rsidRDefault="00CE2323">
      <w:r>
        <w:separator/>
      </w:r>
    </w:p>
  </w:endnote>
  <w:endnote w:type="continuationSeparator" w:id="0">
    <w:p w:rsidR="00CE2323" w:rsidRDefault="00CE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936" w:rsidRDefault="00C94936" w:rsidP="00BA7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4936" w:rsidRDefault="00C94936" w:rsidP="00BA73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8056"/>
      <w:docPartObj>
        <w:docPartGallery w:val="Page Numbers (Bottom of Page)"/>
        <w:docPartUnique/>
      </w:docPartObj>
    </w:sdtPr>
    <w:sdtEndPr/>
    <w:sdtContent>
      <w:p w:rsidR="00C94936" w:rsidRDefault="00C94936">
        <w:pPr>
          <w:pStyle w:val="Footer"/>
          <w:jc w:val="right"/>
        </w:pPr>
        <w:r>
          <w:fldChar w:fldCharType="begin"/>
        </w:r>
        <w:r>
          <w:instrText xml:space="preserve"> PAGE   \* MERGEFORMAT </w:instrText>
        </w:r>
        <w:r>
          <w:fldChar w:fldCharType="separate"/>
        </w:r>
        <w:r w:rsidR="000F0CCA">
          <w:rPr>
            <w:noProof/>
          </w:rPr>
          <w:t>1</w:t>
        </w:r>
        <w:r>
          <w:rPr>
            <w:noProof/>
          </w:rPr>
          <w:fldChar w:fldCharType="end"/>
        </w:r>
      </w:p>
    </w:sdtContent>
  </w:sdt>
  <w:p w:rsidR="00C94936" w:rsidRDefault="00C94936" w:rsidP="00BA73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323" w:rsidRDefault="00CE2323">
      <w:r>
        <w:separator/>
      </w:r>
    </w:p>
  </w:footnote>
  <w:footnote w:type="continuationSeparator" w:id="0">
    <w:p w:rsidR="00CE2323" w:rsidRDefault="00CE2323">
      <w:r>
        <w:continuationSeparator/>
      </w:r>
    </w:p>
  </w:footnote>
  <w:footnote w:id="1">
    <w:p w:rsidR="004E7AA4" w:rsidRPr="00DD0886" w:rsidRDefault="004E7AA4" w:rsidP="004E7AA4">
      <w:pPr>
        <w:pStyle w:val="FootnoteText"/>
      </w:pPr>
      <w:r w:rsidRPr="003B3CCC">
        <w:rPr>
          <w:rStyle w:val="FootnoteReference"/>
        </w:rPr>
        <w:footnoteRef/>
      </w:r>
      <w:r>
        <w:t xml:space="preserve"> Generally, for a company, t</w:t>
      </w:r>
      <w:r w:rsidRPr="003B3CCC">
        <w:t xml:space="preserve">he </w:t>
      </w:r>
      <w:r w:rsidRPr="00820704">
        <w:t>carry-forward and carry-back of tax losses</w:t>
      </w:r>
      <w:r w:rsidRPr="003B3CCC">
        <w:t xml:space="preserve"> can only be allowed if the </w:t>
      </w:r>
      <w:r>
        <w:t>company</w:t>
      </w:r>
      <w:r w:rsidRPr="003B3CCC">
        <w:t xml:space="preserve"> satisfies the shareholding test, i.e. there is no substantial change in shareholde</w:t>
      </w:r>
      <w:r>
        <w:t xml:space="preserve">rs as at the relevant dates. A company </w:t>
      </w:r>
      <w:r w:rsidRPr="003B3CCC">
        <w:t>does not have a substantial change in</w:t>
      </w:r>
      <w:r>
        <w:t xml:space="preserve"> shareholders if </w:t>
      </w:r>
      <w:proofErr w:type="gramStart"/>
      <w:r>
        <w:t>50% or more of</w:t>
      </w:r>
      <w:r w:rsidRPr="003B3CCC">
        <w:t xml:space="preserve"> shares</w:t>
      </w:r>
      <w:r>
        <w:t xml:space="preserve"> of the company</w:t>
      </w:r>
      <w:r w:rsidRPr="003B3CCC">
        <w:t xml:space="preserve"> (or that of its ultimate parent company) are held by the same persons as</w:t>
      </w:r>
      <w:proofErr w:type="gramEnd"/>
      <w:r w:rsidRPr="003B3CCC">
        <w:t xml:space="preserve"> at the relevant dates.</w:t>
      </w:r>
      <w:r>
        <w:t xml:space="preserve"> For </w:t>
      </w:r>
      <w:r w:rsidR="00A43D0D">
        <w:t xml:space="preserve">the sub-fund of </w:t>
      </w:r>
      <w:r>
        <w:t>a</w:t>
      </w:r>
      <w:r w:rsidR="00A43D0D">
        <w:t>n umbrella</w:t>
      </w:r>
      <w:r>
        <w:t xml:space="preserve"> VCC, the shareholding test </w:t>
      </w:r>
      <w:proofErr w:type="gramStart"/>
      <w:r>
        <w:t>will be applied</w:t>
      </w:r>
      <w:proofErr w:type="gramEnd"/>
      <w:r>
        <w:t xml:space="preserve"> at the sub-fund level, and for this purpose, s</w:t>
      </w:r>
      <w:r w:rsidRPr="00C84147">
        <w:t xml:space="preserve">hareholding of each sub-fund will be determined separately based on the shareholders of the </w:t>
      </w:r>
      <w:r w:rsidR="00A43D0D">
        <w:t xml:space="preserve">umbrella </w:t>
      </w:r>
      <w:r w:rsidRPr="00C84147">
        <w:t xml:space="preserve">VCC in respect </w:t>
      </w:r>
      <w:r>
        <w:t>of</w:t>
      </w:r>
      <w:r w:rsidRPr="00C84147">
        <w:t xml:space="preserve"> that sub-fund</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D67"/>
    <w:multiLevelType w:val="hybridMultilevel"/>
    <w:tmpl w:val="A866C4F6"/>
    <w:lvl w:ilvl="0" w:tplc="CF269810">
      <w:start w:val="1"/>
      <w:numFmt w:val="decimal"/>
      <w:lvlText w:val="%1"/>
      <w:lvlJc w:val="righ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2312DC1"/>
    <w:multiLevelType w:val="hybridMultilevel"/>
    <w:tmpl w:val="E6A8742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5914537"/>
    <w:multiLevelType w:val="multilevel"/>
    <w:tmpl w:val="2D02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217B4"/>
    <w:multiLevelType w:val="hybridMultilevel"/>
    <w:tmpl w:val="90CECD4A"/>
    <w:lvl w:ilvl="0" w:tplc="CF882760">
      <w:start w:val="1"/>
      <w:numFmt w:val="lowerLetter"/>
      <w:lvlText w:val="(%1)"/>
      <w:lvlJc w:val="left"/>
      <w:pPr>
        <w:ind w:left="720" w:hanging="360"/>
      </w:pPr>
      <w:rPr>
        <w:rFonts w:hint="default"/>
      </w:rPr>
    </w:lvl>
    <w:lvl w:ilvl="1" w:tplc="50227C0A">
      <w:numFmt w:val="bullet"/>
      <w:lvlText w:val="-"/>
      <w:lvlJc w:val="left"/>
      <w:pPr>
        <w:ind w:left="1440" w:hanging="360"/>
      </w:pPr>
      <w:rPr>
        <w:rFonts w:ascii="Times New Roman" w:eastAsia="Times New Roman" w:hAnsi="Times New Roman" w:cs="Times New Roman"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0B9F7F56"/>
    <w:multiLevelType w:val="hybridMultilevel"/>
    <w:tmpl w:val="971801CC"/>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D5F309D"/>
    <w:multiLevelType w:val="hybridMultilevel"/>
    <w:tmpl w:val="2D381544"/>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6">
    <w:nsid w:val="0D9D02BA"/>
    <w:multiLevelType w:val="hybridMultilevel"/>
    <w:tmpl w:val="159C522E"/>
    <w:lvl w:ilvl="0" w:tplc="9E80FDFE">
      <w:start w:val="1"/>
      <w:numFmt w:val="lowerLetter"/>
      <w:lvlText w:val="(%1)"/>
      <w:lvlJc w:val="left"/>
      <w:pPr>
        <w:ind w:left="720" w:hanging="360"/>
      </w:pPr>
      <w:rPr>
        <w:rFonts w:hint="default"/>
        <w:b w:val="0"/>
      </w:rPr>
    </w:lvl>
    <w:lvl w:ilvl="1" w:tplc="0C207D2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F510D2"/>
    <w:multiLevelType w:val="hybridMultilevel"/>
    <w:tmpl w:val="AA9A54CE"/>
    <w:lvl w:ilvl="0" w:tplc="CF66FAC2">
      <w:start w:val="1"/>
      <w:numFmt w:val="lowerRoman"/>
      <w:suff w:val="space"/>
      <w:lvlText w:val="%1."/>
      <w:lvlJc w:val="right"/>
      <w:pPr>
        <w:ind w:left="397" w:hanging="37"/>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131E1F6E"/>
    <w:multiLevelType w:val="hybridMultilevel"/>
    <w:tmpl w:val="159C522E"/>
    <w:lvl w:ilvl="0" w:tplc="9E80FDFE">
      <w:start w:val="1"/>
      <w:numFmt w:val="lowerLetter"/>
      <w:lvlText w:val="(%1)"/>
      <w:lvlJc w:val="left"/>
      <w:pPr>
        <w:ind w:left="720" w:hanging="360"/>
      </w:pPr>
      <w:rPr>
        <w:rFonts w:hint="default"/>
        <w:b w:val="0"/>
      </w:rPr>
    </w:lvl>
    <w:lvl w:ilvl="1" w:tplc="0C207D2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757E8B"/>
    <w:multiLevelType w:val="multilevel"/>
    <w:tmpl w:val="75D4B268"/>
    <w:lvl w:ilvl="0">
      <w:start w:val="1"/>
      <w:numFmt w:val="lowerRoman"/>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534D23"/>
    <w:multiLevelType w:val="hybridMultilevel"/>
    <w:tmpl w:val="90CECD4A"/>
    <w:lvl w:ilvl="0" w:tplc="CF882760">
      <w:start w:val="1"/>
      <w:numFmt w:val="lowerLetter"/>
      <w:lvlText w:val="(%1)"/>
      <w:lvlJc w:val="left"/>
      <w:pPr>
        <w:ind w:left="720" w:hanging="360"/>
      </w:pPr>
      <w:rPr>
        <w:rFonts w:hint="default"/>
      </w:rPr>
    </w:lvl>
    <w:lvl w:ilvl="1" w:tplc="50227C0A">
      <w:numFmt w:val="bullet"/>
      <w:lvlText w:val="-"/>
      <w:lvlJc w:val="left"/>
      <w:pPr>
        <w:ind w:left="1440" w:hanging="360"/>
      </w:pPr>
      <w:rPr>
        <w:rFonts w:ascii="Times New Roman" w:eastAsia="Times New Roman" w:hAnsi="Times New Roman" w:cs="Times New Roman"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17DB548E"/>
    <w:multiLevelType w:val="multilevel"/>
    <w:tmpl w:val="45DC9DAE"/>
    <w:lvl w:ilvl="0">
      <w:start w:val="1"/>
      <w:numFmt w:val="lowerRoman"/>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8E7780"/>
    <w:multiLevelType w:val="multilevel"/>
    <w:tmpl w:val="7E1EE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485A09"/>
    <w:multiLevelType w:val="multilevel"/>
    <w:tmpl w:val="A428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8A4279"/>
    <w:multiLevelType w:val="hybridMultilevel"/>
    <w:tmpl w:val="AA9A54CE"/>
    <w:lvl w:ilvl="0" w:tplc="CF66FAC2">
      <w:start w:val="1"/>
      <w:numFmt w:val="lowerRoman"/>
      <w:suff w:val="space"/>
      <w:lvlText w:val="%1."/>
      <w:lvlJc w:val="right"/>
      <w:pPr>
        <w:ind w:left="397" w:hanging="37"/>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29D91A23"/>
    <w:multiLevelType w:val="hybridMultilevel"/>
    <w:tmpl w:val="C30C38D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31BF196B"/>
    <w:multiLevelType w:val="hybridMultilevel"/>
    <w:tmpl w:val="41BC46BC"/>
    <w:lvl w:ilvl="0" w:tplc="C4C8AF50">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31F25ED3"/>
    <w:multiLevelType w:val="hybridMultilevel"/>
    <w:tmpl w:val="FE28EA74"/>
    <w:lvl w:ilvl="0" w:tplc="2B5A85CC">
      <w:start w:val="1"/>
      <w:numFmt w:val="lowerLetter"/>
      <w:lvlText w:val="%1)"/>
      <w:lvlJc w:val="left"/>
      <w:pPr>
        <w:ind w:left="1080" w:hanging="720"/>
      </w:pPr>
      <w:rPr>
        <w:b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8">
    <w:nsid w:val="3A1031E1"/>
    <w:multiLevelType w:val="multilevel"/>
    <w:tmpl w:val="88047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3DB03F74"/>
    <w:multiLevelType w:val="hybridMultilevel"/>
    <w:tmpl w:val="19EA7C7C"/>
    <w:lvl w:ilvl="0" w:tplc="0FEE887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3EE104C3"/>
    <w:multiLevelType w:val="hybridMultilevel"/>
    <w:tmpl w:val="C3D0886A"/>
    <w:lvl w:ilvl="0" w:tplc="85E6486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434C1030"/>
    <w:multiLevelType w:val="hybridMultilevel"/>
    <w:tmpl w:val="F258D0F0"/>
    <w:lvl w:ilvl="0" w:tplc="CFB273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443025A6"/>
    <w:multiLevelType w:val="hybridMultilevel"/>
    <w:tmpl w:val="57DC0E72"/>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3">
    <w:nsid w:val="444853BF"/>
    <w:multiLevelType w:val="hybridMultilevel"/>
    <w:tmpl w:val="27CC2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465D3341"/>
    <w:multiLevelType w:val="hybridMultilevel"/>
    <w:tmpl w:val="D292CA84"/>
    <w:lvl w:ilvl="0" w:tplc="B0E6D2EC">
      <w:start w:val="1"/>
      <w:numFmt w:val="lowerLetter"/>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nsid w:val="49E64615"/>
    <w:multiLevelType w:val="hybridMultilevel"/>
    <w:tmpl w:val="A7248460"/>
    <w:lvl w:ilvl="0" w:tplc="0BC61A70">
      <w:start w:val="1"/>
      <w:numFmt w:val="lowerLetter"/>
      <w:lvlText w:val="%1)"/>
      <w:lvlJc w:val="left"/>
      <w:pPr>
        <w:ind w:left="1569"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6">
    <w:nsid w:val="4B0C4374"/>
    <w:multiLevelType w:val="hybridMultilevel"/>
    <w:tmpl w:val="11D6B5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nsid w:val="4B2F10D7"/>
    <w:multiLevelType w:val="hybridMultilevel"/>
    <w:tmpl w:val="AB90551A"/>
    <w:lvl w:ilvl="0" w:tplc="527E19D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nsid w:val="4BD62218"/>
    <w:multiLevelType w:val="hybridMultilevel"/>
    <w:tmpl w:val="AA9A54CE"/>
    <w:lvl w:ilvl="0" w:tplc="CF66FAC2">
      <w:start w:val="1"/>
      <w:numFmt w:val="lowerRoman"/>
      <w:suff w:val="space"/>
      <w:lvlText w:val="%1."/>
      <w:lvlJc w:val="right"/>
      <w:pPr>
        <w:ind w:left="397" w:hanging="37"/>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nsid w:val="52B10DD8"/>
    <w:multiLevelType w:val="hybridMultilevel"/>
    <w:tmpl w:val="D292CA84"/>
    <w:lvl w:ilvl="0" w:tplc="B0E6D2EC">
      <w:start w:val="1"/>
      <w:numFmt w:val="lowerLetter"/>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nsid w:val="63D52F71"/>
    <w:multiLevelType w:val="hybridMultilevel"/>
    <w:tmpl w:val="23CEECBA"/>
    <w:lvl w:ilvl="0" w:tplc="85AEEF3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650379FB"/>
    <w:multiLevelType w:val="hybridMultilevel"/>
    <w:tmpl w:val="E256A25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nsid w:val="650D7545"/>
    <w:multiLevelType w:val="multilevel"/>
    <w:tmpl w:val="65A25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692E612D"/>
    <w:multiLevelType w:val="hybridMultilevel"/>
    <w:tmpl w:val="A5A05CC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nsid w:val="6AA179B7"/>
    <w:multiLevelType w:val="hybridMultilevel"/>
    <w:tmpl w:val="618487E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nsid w:val="6BDA4E7C"/>
    <w:multiLevelType w:val="multilevel"/>
    <w:tmpl w:val="608E7B04"/>
    <w:lvl w:ilvl="0">
      <w:start w:val="1"/>
      <w:numFmt w:val="upperLetter"/>
      <w:lvlText w:val="%1."/>
      <w:lvlJc w:val="left"/>
      <w:pPr>
        <w:ind w:left="786" w:hanging="360"/>
      </w:pPr>
      <w:rPr>
        <w:rFonts w:ascii="Arial" w:hAnsi="Arial" w:cs="Arial" w:hint="default"/>
      </w:rPr>
    </w:lvl>
    <w:lvl w:ilvl="1">
      <w:start w:val="1"/>
      <w:numFmt w:val="decimal"/>
      <w:lvlText w:val="%1.%2."/>
      <w:lvlJc w:val="left"/>
      <w:pPr>
        <w:ind w:left="1218" w:hanging="432"/>
      </w:pPr>
      <w:rPr>
        <w:rFonts w:hint="default"/>
        <w:strike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pStyle w:val="Heading5"/>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6">
    <w:nsid w:val="6E77111F"/>
    <w:multiLevelType w:val="hybridMultilevel"/>
    <w:tmpl w:val="9746C19A"/>
    <w:lvl w:ilvl="0" w:tplc="A29A591C">
      <w:start w:val="1"/>
      <w:numFmt w:val="lowerLetter"/>
      <w:lvlText w:val="%1)"/>
      <w:lvlJc w:val="left"/>
      <w:pPr>
        <w:ind w:left="720" w:hanging="360"/>
      </w:pPr>
      <w:rPr>
        <w:sz w:val="24"/>
        <w:szCs w:val="24"/>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7">
    <w:nsid w:val="72EF125C"/>
    <w:multiLevelType w:val="multilevel"/>
    <w:tmpl w:val="EF202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214505"/>
    <w:multiLevelType w:val="hybridMultilevel"/>
    <w:tmpl w:val="19D0AF1E"/>
    <w:lvl w:ilvl="0" w:tplc="28A6EE4E">
      <w:start w:val="1"/>
      <w:numFmt w:val="decimal"/>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nsid w:val="758E1021"/>
    <w:multiLevelType w:val="hybridMultilevel"/>
    <w:tmpl w:val="01CC3B4A"/>
    <w:lvl w:ilvl="0" w:tplc="9E80FDF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631113A"/>
    <w:multiLevelType w:val="hybridMultilevel"/>
    <w:tmpl w:val="BF387DF0"/>
    <w:lvl w:ilvl="0" w:tplc="4538D5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6475738"/>
    <w:multiLevelType w:val="hybridMultilevel"/>
    <w:tmpl w:val="553A13F4"/>
    <w:lvl w:ilvl="0" w:tplc="4AF89ACE">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nsid w:val="77CC203F"/>
    <w:multiLevelType w:val="hybridMultilevel"/>
    <w:tmpl w:val="C8260C5C"/>
    <w:lvl w:ilvl="0" w:tplc="1AFC8F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A4B6BDD"/>
    <w:multiLevelType w:val="hybridMultilevel"/>
    <w:tmpl w:val="A6B02278"/>
    <w:lvl w:ilvl="0" w:tplc="C130C632">
      <w:start w:val="1"/>
      <w:numFmt w:val="lowerLetter"/>
      <w:lvlText w:val="%1)"/>
      <w:lvlJc w:val="left"/>
      <w:pPr>
        <w:ind w:left="720" w:hanging="360"/>
      </w:pPr>
      <w:rPr>
        <w:rFonts w:ascii="Arial" w:hAnsi="Arial" w:cs="Arial" w:hint="default"/>
        <w:b w:val="0"/>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nsid w:val="7EBF336A"/>
    <w:multiLevelType w:val="hybridMultilevel"/>
    <w:tmpl w:val="C30C38D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nsid w:val="7ECD636F"/>
    <w:multiLevelType w:val="hybridMultilevel"/>
    <w:tmpl w:val="306CE4DC"/>
    <w:lvl w:ilvl="0" w:tplc="63400752">
      <w:start w:val="1"/>
      <w:numFmt w:val="lowerLetter"/>
      <w:lvlText w:val="%1)"/>
      <w:lvlJc w:val="left"/>
      <w:pPr>
        <w:ind w:left="720" w:hanging="360"/>
      </w:pPr>
      <w:rPr>
        <w:rFonts w:hint="default"/>
        <w:color w:val="auto"/>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5"/>
  </w:num>
  <w:num w:numId="2">
    <w:abstractNumId w:val="0"/>
  </w:num>
  <w:num w:numId="3">
    <w:abstractNumId w:val="4"/>
  </w:num>
  <w:num w:numId="4">
    <w:abstractNumId w:val="13"/>
  </w:num>
  <w:num w:numId="5">
    <w:abstractNumId w:val="12"/>
  </w:num>
  <w:num w:numId="6">
    <w:abstractNumId w:val="2"/>
  </w:num>
  <w:num w:numId="7">
    <w:abstractNumId w:val="18"/>
  </w:num>
  <w:num w:numId="8">
    <w:abstractNumId w:val="32"/>
  </w:num>
  <w:num w:numId="9">
    <w:abstractNumId w:val="42"/>
  </w:num>
  <w:num w:numId="10">
    <w:abstractNumId w:val="11"/>
  </w:num>
  <w:num w:numId="11">
    <w:abstractNumId w:val="37"/>
  </w:num>
  <w:num w:numId="12">
    <w:abstractNumId w:val="21"/>
  </w:num>
  <w:num w:numId="13">
    <w:abstractNumId w:val="9"/>
  </w:num>
  <w:num w:numId="14">
    <w:abstractNumId w:val="40"/>
  </w:num>
  <w:num w:numId="15">
    <w:abstractNumId w:val="6"/>
  </w:num>
  <w:num w:numId="16">
    <w:abstractNumId w:val="39"/>
  </w:num>
  <w:num w:numId="17">
    <w:abstractNumId w:val="4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2"/>
  </w:num>
  <w:num w:numId="26">
    <w:abstractNumId w:val="38"/>
  </w:num>
  <w:num w:numId="27">
    <w:abstractNumId w:val="41"/>
  </w:num>
  <w:num w:numId="28">
    <w:abstractNumId w:val="34"/>
  </w:num>
  <w:num w:numId="29">
    <w:abstractNumId w:val="1"/>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44"/>
  </w:num>
  <w:num w:numId="33">
    <w:abstractNumId w:val="31"/>
  </w:num>
  <w:num w:numId="34">
    <w:abstractNumId w:val="14"/>
  </w:num>
  <w:num w:numId="35">
    <w:abstractNumId w:val="28"/>
  </w:num>
  <w:num w:numId="36">
    <w:abstractNumId w:val="7"/>
  </w:num>
  <w:num w:numId="37">
    <w:abstractNumId w:val="23"/>
  </w:num>
  <w:num w:numId="38">
    <w:abstractNumId w:val="33"/>
  </w:num>
  <w:num w:numId="39">
    <w:abstractNumId w:val="16"/>
  </w:num>
  <w:num w:numId="40">
    <w:abstractNumId w:val="20"/>
  </w:num>
  <w:num w:numId="41">
    <w:abstractNumId w:val="30"/>
  </w:num>
  <w:num w:numId="42">
    <w:abstractNumId w:val="27"/>
  </w:num>
  <w:num w:numId="43">
    <w:abstractNumId w:val="3"/>
  </w:num>
  <w:num w:numId="44">
    <w:abstractNumId w:val="26"/>
  </w:num>
  <w:num w:numId="45">
    <w:abstractNumId w:val="19"/>
  </w:num>
  <w:num w:numId="46">
    <w:abstractNumId w:val="10"/>
  </w:num>
  <w:num w:numId="47">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SG"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02"/>
    <w:rsid w:val="00000048"/>
    <w:rsid w:val="00001C9D"/>
    <w:rsid w:val="00002F54"/>
    <w:rsid w:val="000031AE"/>
    <w:rsid w:val="00003B0E"/>
    <w:rsid w:val="00003DC2"/>
    <w:rsid w:val="00004FB7"/>
    <w:rsid w:val="00005562"/>
    <w:rsid w:val="00006AC7"/>
    <w:rsid w:val="00007BE7"/>
    <w:rsid w:val="0001301B"/>
    <w:rsid w:val="00015179"/>
    <w:rsid w:val="00016803"/>
    <w:rsid w:val="00016AF3"/>
    <w:rsid w:val="00020258"/>
    <w:rsid w:val="000241DC"/>
    <w:rsid w:val="000258AB"/>
    <w:rsid w:val="00034FBC"/>
    <w:rsid w:val="00036CDF"/>
    <w:rsid w:val="00041C33"/>
    <w:rsid w:val="000439B7"/>
    <w:rsid w:val="00046117"/>
    <w:rsid w:val="00046FD5"/>
    <w:rsid w:val="00050439"/>
    <w:rsid w:val="000511F4"/>
    <w:rsid w:val="000519C6"/>
    <w:rsid w:val="0005277F"/>
    <w:rsid w:val="00056DE9"/>
    <w:rsid w:val="00057396"/>
    <w:rsid w:val="00057D7C"/>
    <w:rsid w:val="00061429"/>
    <w:rsid w:val="0006157A"/>
    <w:rsid w:val="00063115"/>
    <w:rsid w:val="000632BC"/>
    <w:rsid w:val="000652FC"/>
    <w:rsid w:val="0006673B"/>
    <w:rsid w:val="0006698B"/>
    <w:rsid w:val="000674A5"/>
    <w:rsid w:val="0007034D"/>
    <w:rsid w:val="00070FF3"/>
    <w:rsid w:val="000722CA"/>
    <w:rsid w:val="00073010"/>
    <w:rsid w:val="00076DA3"/>
    <w:rsid w:val="0008357E"/>
    <w:rsid w:val="00084FBD"/>
    <w:rsid w:val="00085341"/>
    <w:rsid w:val="00085E19"/>
    <w:rsid w:val="00086B65"/>
    <w:rsid w:val="0009063E"/>
    <w:rsid w:val="00090E7D"/>
    <w:rsid w:val="00090F6B"/>
    <w:rsid w:val="000934E4"/>
    <w:rsid w:val="00093EC2"/>
    <w:rsid w:val="00094244"/>
    <w:rsid w:val="00094DF0"/>
    <w:rsid w:val="0009745C"/>
    <w:rsid w:val="000979C1"/>
    <w:rsid w:val="00097F5C"/>
    <w:rsid w:val="000A0BB8"/>
    <w:rsid w:val="000A0D21"/>
    <w:rsid w:val="000A2BCE"/>
    <w:rsid w:val="000A3E50"/>
    <w:rsid w:val="000A55A4"/>
    <w:rsid w:val="000A66A9"/>
    <w:rsid w:val="000A6E70"/>
    <w:rsid w:val="000A6F5E"/>
    <w:rsid w:val="000B1D58"/>
    <w:rsid w:val="000B1D9F"/>
    <w:rsid w:val="000B1EC4"/>
    <w:rsid w:val="000B2121"/>
    <w:rsid w:val="000B253D"/>
    <w:rsid w:val="000B361B"/>
    <w:rsid w:val="000B3C63"/>
    <w:rsid w:val="000B3D57"/>
    <w:rsid w:val="000B4143"/>
    <w:rsid w:val="000B7206"/>
    <w:rsid w:val="000B772D"/>
    <w:rsid w:val="000C1307"/>
    <w:rsid w:val="000C2659"/>
    <w:rsid w:val="000C2BDB"/>
    <w:rsid w:val="000C42E3"/>
    <w:rsid w:val="000C66C1"/>
    <w:rsid w:val="000C6F24"/>
    <w:rsid w:val="000D4012"/>
    <w:rsid w:val="000D4DBC"/>
    <w:rsid w:val="000D5F41"/>
    <w:rsid w:val="000D7140"/>
    <w:rsid w:val="000D7623"/>
    <w:rsid w:val="000E1263"/>
    <w:rsid w:val="000E1545"/>
    <w:rsid w:val="000E23E6"/>
    <w:rsid w:val="000E3ED5"/>
    <w:rsid w:val="000E42ED"/>
    <w:rsid w:val="000E69B3"/>
    <w:rsid w:val="000E719C"/>
    <w:rsid w:val="000E7FD1"/>
    <w:rsid w:val="000F0B4D"/>
    <w:rsid w:val="000F0CCA"/>
    <w:rsid w:val="000F20DA"/>
    <w:rsid w:val="000F2B99"/>
    <w:rsid w:val="000F36A1"/>
    <w:rsid w:val="000F5DC2"/>
    <w:rsid w:val="000F6967"/>
    <w:rsid w:val="000F6F83"/>
    <w:rsid w:val="00103615"/>
    <w:rsid w:val="001040D9"/>
    <w:rsid w:val="00105577"/>
    <w:rsid w:val="001061E3"/>
    <w:rsid w:val="00106587"/>
    <w:rsid w:val="00110940"/>
    <w:rsid w:val="0011154E"/>
    <w:rsid w:val="00111DD4"/>
    <w:rsid w:val="0011497A"/>
    <w:rsid w:val="00114C4A"/>
    <w:rsid w:val="00116C7C"/>
    <w:rsid w:val="00116F37"/>
    <w:rsid w:val="00121C31"/>
    <w:rsid w:val="00121E5F"/>
    <w:rsid w:val="00123AA7"/>
    <w:rsid w:val="00123CEA"/>
    <w:rsid w:val="001240D5"/>
    <w:rsid w:val="001242E3"/>
    <w:rsid w:val="0012678F"/>
    <w:rsid w:val="00126FE9"/>
    <w:rsid w:val="00127362"/>
    <w:rsid w:val="00127855"/>
    <w:rsid w:val="001278DF"/>
    <w:rsid w:val="001279BD"/>
    <w:rsid w:val="00130426"/>
    <w:rsid w:val="00134B7A"/>
    <w:rsid w:val="001361EB"/>
    <w:rsid w:val="00136F7F"/>
    <w:rsid w:val="00137C40"/>
    <w:rsid w:val="0014119B"/>
    <w:rsid w:val="001429B2"/>
    <w:rsid w:val="00142BCE"/>
    <w:rsid w:val="00143326"/>
    <w:rsid w:val="001436A3"/>
    <w:rsid w:val="00147D29"/>
    <w:rsid w:val="001501FB"/>
    <w:rsid w:val="001504BA"/>
    <w:rsid w:val="00150B2F"/>
    <w:rsid w:val="00151B2A"/>
    <w:rsid w:val="001523B6"/>
    <w:rsid w:val="00152C67"/>
    <w:rsid w:val="00156260"/>
    <w:rsid w:val="001562A0"/>
    <w:rsid w:val="00156FB5"/>
    <w:rsid w:val="001605AD"/>
    <w:rsid w:val="00160D54"/>
    <w:rsid w:val="00160F80"/>
    <w:rsid w:val="00161A88"/>
    <w:rsid w:val="001626F2"/>
    <w:rsid w:val="00163FB9"/>
    <w:rsid w:val="001658FB"/>
    <w:rsid w:val="0016771D"/>
    <w:rsid w:val="00170F88"/>
    <w:rsid w:val="001723FA"/>
    <w:rsid w:val="001726AC"/>
    <w:rsid w:val="00172D9F"/>
    <w:rsid w:val="0017402F"/>
    <w:rsid w:val="0018015C"/>
    <w:rsid w:val="001808BF"/>
    <w:rsid w:val="001810A8"/>
    <w:rsid w:val="00181369"/>
    <w:rsid w:val="00183ECE"/>
    <w:rsid w:val="001847D6"/>
    <w:rsid w:val="001927DB"/>
    <w:rsid w:val="00195108"/>
    <w:rsid w:val="0019785A"/>
    <w:rsid w:val="001A042C"/>
    <w:rsid w:val="001A0C39"/>
    <w:rsid w:val="001A5FA4"/>
    <w:rsid w:val="001A614F"/>
    <w:rsid w:val="001A6D82"/>
    <w:rsid w:val="001A77DE"/>
    <w:rsid w:val="001A7A79"/>
    <w:rsid w:val="001B0549"/>
    <w:rsid w:val="001B15AE"/>
    <w:rsid w:val="001B1DAF"/>
    <w:rsid w:val="001B4717"/>
    <w:rsid w:val="001B6C64"/>
    <w:rsid w:val="001B766E"/>
    <w:rsid w:val="001B7808"/>
    <w:rsid w:val="001C156E"/>
    <w:rsid w:val="001C2CA3"/>
    <w:rsid w:val="001C2F6A"/>
    <w:rsid w:val="001C42D6"/>
    <w:rsid w:val="001C57A2"/>
    <w:rsid w:val="001C6CBE"/>
    <w:rsid w:val="001C73B5"/>
    <w:rsid w:val="001D0614"/>
    <w:rsid w:val="001D445C"/>
    <w:rsid w:val="001D4E65"/>
    <w:rsid w:val="001D5AC3"/>
    <w:rsid w:val="001D5D86"/>
    <w:rsid w:val="001D63B1"/>
    <w:rsid w:val="001D7868"/>
    <w:rsid w:val="001E06FE"/>
    <w:rsid w:val="001E0F29"/>
    <w:rsid w:val="001E6206"/>
    <w:rsid w:val="001E682D"/>
    <w:rsid w:val="001E6DF1"/>
    <w:rsid w:val="001E74A3"/>
    <w:rsid w:val="001E778F"/>
    <w:rsid w:val="001F00C0"/>
    <w:rsid w:val="001F09F3"/>
    <w:rsid w:val="001F0FC9"/>
    <w:rsid w:val="001F1989"/>
    <w:rsid w:val="001F24C0"/>
    <w:rsid w:val="001F2936"/>
    <w:rsid w:val="001F2E23"/>
    <w:rsid w:val="001F3C85"/>
    <w:rsid w:val="001F4020"/>
    <w:rsid w:val="001F4D64"/>
    <w:rsid w:val="001F528B"/>
    <w:rsid w:val="001F5AFA"/>
    <w:rsid w:val="001F7190"/>
    <w:rsid w:val="001F7716"/>
    <w:rsid w:val="0020013D"/>
    <w:rsid w:val="00200472"/>
    <w:rsid w:val="00201266"/>
    <w:rsid w:val="00201878"/>
    <w:rsid w:val="00201E08"/>
    <w:rsid w:val="00203D60"/>
    <w:rsid w:val="00204099"/>
    <w:rsid w:val="00204665"/>
    <w:rsid w:val="00204688"/>
    <w:rsid w:val="00206282"/>
    <w:rsid w:val="00206756"/>
    <w:rsid w:val="002070CC"/>
    <w:rsid w:val="00210B9D"/>
    <w:rsid w:val="00210DCA"/>
    <w:rsid w:val="00210F5A"/>
    <w:rsid w:val="002114C1"/>
    <w:rsid w:val="00211A9F"/>
    <w:rsid w:val="002126DC"/>
    <w:rsid w:val="002129AC"/>
    <w:rsid w:val="00212A5E"/>
    <w:rsid w:val="00212D96"/>
    <w:rsid w:val="00212E35"/>
    <w:rsid w:val="002154B1"/>
    <w:rsid w:val="00216317"/>
    <w:rsid w:val="00217706"/>
    <w:rsid w:val="0021792D"/>
    <w:rsid w:val="00217CEE"/>
    <w:rsid w:val="00220C70"/>
    <w:rsid w:val="00221C47"/>
    <w:rsid w:val="00223223"/>
    <w:rsid w:val="00223912"/>
    <w:rsid w:val="002243F9"/>
    <w:rsid w:val="00225F94"/>
    <w:rsid w:val="0022656C"/>
    <w:rsid w:val="00232217"/>
    <w:rsid w:val="00234152"/>
    <w:rsid w:val="00234D4E"/>
    <w:rsid w:val="00236584"/>
    <w:rsid w:val="0023734B"/>
    <w:rsid w:val="00237520"/>
    <w:rsid w:val="00240BB9"/>
    <w:rsid w:val="00241F2D"/>
    <w:rsid w:val="0024278B"/>
    <w:rsid w:val="00244C36"/>
    <w:rsid w:val="0024528C"/>
    <w:rsid w:val="00245475"/>
    <w:rsid w:val="00245550"/>
    <w:rsid w:val="00247085"/>
    <w:rsid w:val="00247D87"/>
    <w:rsid w:val="0025038A"/>
    <w:rsid w:val="00250B9A"/>
    <w:rsid w:val="00253978"/>
    <w:rsid w:val="00253DF5"/>
    <w:rsid w:val="00255246"/>
    <w:rsid w:val="002563CA"/>
    <w:rsid w:val="002564BE"/>
    <w:rsid w:val="002630EC"/>
    <w:rsid w:val="00265200"/>
    <w:rsid w:val="00266954"/>
    <w:rsid w:val="0026719A"/>
    <w:rsid w:val="002673B0"/>
    <w:rsid w:val="00267A26"/>
    <w:rsid w:val="00267EB1"/>
    <w:rsid w:val="00272E5F"/>
    <w:rsid w:val="00272EBF"/>
    <w:rsid w:val="00275637"/>
    <w:rsid w:val="002812A8"/>
    <w:rsid w:val="002827A3"/>
    <w:rsid w:val="00282EF8"/>
    <w:rsid w:val="00283248"/>
    <w:rsid w:val="00283EB4"/>
    <w:rsid w:val="002845B1"/>
    <w:rsid w:val="00286605"/>
    <w:rsid w:val="0028723D"/>
    <w:rsid w:val="002907FF"/>
    <w:rsid w:val="00290B3B"/>
    <w:rsid w:val="00290F70"/>
    <w:rsid w:val="0029145B"/>
    <w:rsid w:val="00292056"/>
    <w:rsid w:val="002941D3"/>
    <w:rsid w:val="0029513C"/>
    <w:rsid w:val="00295263"/>
    <w:rsid w:val="0029556F"/>
    <w:rsid w:val="002966A3"/>
    <w:rsid w:val="002973A7"/>
    <w:rsid w:val="002976E7"/>
    <w:rsid w:val="002A14E3"/>
    <w:rsid w:val="002A259A"/>
    <w:rsid w:val="002A3168"/>
    <w:rsid w:val="002A45A1"/>
    <w:rsid w:val="002A4AE6"/>
    <w:rsid w:val="002A562E"/>
    <w:rsid w:val="002B12B5"/>
    <w:rsid w:val="002B2165"/>
    <w:rsid w:val="002B41EF"/>
    <w:rsid w:val="002B45E1"/>
    <w:rsid w:val="002B4694"/>
    <w:rsid w:val="002B797D"/>
    <w:rsid w:val="002B7F3A"/>
    <w:rsid w:val="002C090A"/>
    <w:rsid w:val="002C1B72"/>
    <w:rsid w:val="002C1C40"/>
    <w:rsid w:val="002C2425"/>
    <w:rsid w:val="002C24F5"/>
    <w:rsid w:val="002C3D81"/>
    <w:rsid w:val="002C4511"/>
    <w:rsid w:val="002C5544"/>
    <w:rsid w:val="002C6190"/>
    <w:rsid w:val="002C692F"/>
    <w:rsid w:val="002D5C23"/>
    <w:rsid w:val="002D5D50"/>
    <w:rsid w:val="002D6800"/>
    <w:rsid w:val="002D7816"/>
    <w:rsid w:val="002E22E9"/>
    <w:rsid w:val="002E4294"/>
    <w:rsid w:val="002E6929"/>
    <w:rsid w:val="002E7077"/>
    <w:rsid w:val="002F0322"/>
    <w:rsid w:val="002F0FD9"/>
    <w:rsid w:val="002F28A9"/>
    <w:rsid w:val="002F70BF"/>
    <w:rsid w:val="002F70E0"/>
    <w:rsid w:val="00300382"/>
    <w:rsid w:val="00300603"/>
    <w:rsid w:val="0030172A"/>
    <w:rsid w:val="00302B9A"/>
    <w:rsid w:val="00302C59"/>
    <w:rsid w:val="003042F5"/>
    <w:rsid w:val="00304E1C"/>
    <w:rsid w:val="00305271"/>
    <w:rsid w:val="0030614B"/>
    <w:rsid w:val="00306DB7"/>
    <w:rsid w:val="00312121"/>
    <w:rsid w:val="003129FA"/>
    <w:rsid w:val="00312F3A"/>
    <w:rsid w:val="00316B16"/>
    <w:rsid w:val="00316D94"/>
    <w:rsid w:val="0031739B"/>
    <w:rsid w:val="003213B6"/>
    <w:rsid w:val="00323D0E"/>
    <w:rsid w:val="00324AE0"/>
    <w:rsid w:val="00327D73"/>
    <w:rsid w:val="0033290A"/>
    <w:rsid w:val="00333A66"/>
    <w:rsid w:val="00333C96"/>
    <w:rsid w:val="00340F1E"/>
    <w:rsid w:val="003418A2"/>
    <w:rsid w:val="00341FB9"/>
    <w:rsid w:val="0034215C"/>
    <w:rsid w:val="0034322C"/>
    <w:rsid w:val="003442EE"/>
    <w:rsid w:val="00344EEB"/>
    <w:rsid w:val="00345113"/>
    <w:rsid w:val="00345673"/>
    <w:rsid w:val="003460CC"/>
    <w:rsid w:val="003460D5"/>
    <w:rsid w:val="003479E3"/>
    <w:rsid w:val="00350CE2"/>
    <w:rsid w:val="00350E71"/>
    <w:rsid w:val="00351BF5"/>
    <w:rsid w:val="00352D83"/>
    <w:rsid w:val="00352E3C"/>
    <w:rsid w:val="00353F42"/>
    <w:rsid w:val="003540E8"/>
    <w:rsid w:val="00354B3D"/>
    <w:rsid w:val="00356533"/>
    <w:rsid w:val="00356C4A"/>
    <w:rsid w:val="00360EC4"/>
    <w:rsid w:val="003616D5"/>
    <w:rsid w:val="0036309F"/>
    <w:rsid w:val="003637E1"/>
    <w:rsid w:val="0036558F"/>
    <w:rsid w:val="00366CDA"/>
    <w:rsid w:val="00366E4B"/>
    <w:rsid w:val="00367D9C"/>
    <w:rsid w:val="00371D62"/>
    <w:rsid w:val="003723EB"/>
    <w:rsid w:val="00372A06"/>
    <w:rsid w:val="00374273"/>
    <w:rsid w:val="00375E56"/>
    <w:rsid w:val="003763BD"/>
    <w:rsid w:val="00376899"/>
    <w:rsid w:val="00376C62"/>
    <w:rsid w:val="00376F9D"/>
    <w:rsid w:val="0037778C"/>
    <w:rsid w:val="00380FEC"/>
    <w:rsid w:val="00382BD1"/>
    <w:rsid w:val="003865CE"/>
    <w:rsid w:val="00386A23"/>
    <w:rsid w:val="00392CC4"/>
    <w:rsid w:val="00392D30"/>
    <w:rsid w:val="00393014"/>
    <w:rsid w:val="00396ABF"/>
    <w:rsid w:val="003A379C"/>
    <w:rsid w:val="003A4C41"/>
    <w:rsid w:val="003A528D"/>
    <w:rsid w:val="003B15AC"/>
    <w:rsid w:val="003B27B2"/>
    <w:rsid w:val="003B3129"/>
    <w:rsid w:val="003B427E"/>
    <w:rsid w:val="003B554D"/>
    <w:rsid w:val="003B5606"/>
    <w:rsid w:val="003B6414"/>
    <w:rsid w:val="003C038E"/>
    <w:rsid w:val="003C2160"/>
    <w:rsid w:val="003C26DB"/>
    <w:rsid w:val="003C33AE"/>
    <w:rsid w:val="003C770E"/>
    <w:rsid w:val="003D0666"/>
    <w:rsid w:val="003D0BB2"/>
    <w:rsid w:val="003D38E7"/>
    <w:rsid w:val="003D5DF2"/>
    <w:rsid w:val="003D6280"/>
    <w:rsid w:val="003D7BD6"/>
    <w:rsid w:val="003E075B"/>
    <w:rsid w:val="003E1639"/>
    <w:rsid w:val="003E3F62"/>
    <w:rsid w:val="003E44BD"/>
    <w:rsid w:val="003E5250"/>
    <w:rsid w:val="003E53A8"/>
    <w:rsid w:val="003E5AEB"/>
    <w:rsid w:val="003E6C8E"/>
    <w:rsid w:val="003E7200"/>
    <w:rsid w:val="003F0086"/>
    <w:rsid w:val="003F0D8C"/>
    <w:rsid w:val="003F22B3"/>
    <w:rsid w:val="003F3705"/>
    <w:rsid w:val="003F37A8"/>
    <w:rsid w:val="003F4106"/>
    <w:rsid w:val="003F7329"/>
    <w:rsid w:val="004010E6"/>
    <w:rsid w:val="004019C5"/>
    <w:rsid w:val="00401E80"/>
    <w:rsid w:val="00403CFA"/>
    <w:rsid w:val="004073B2"/>
    <w:rsid w:val="00410014"/>
    <w:rsid w:val="00410C3B"/>
    <w:rsid w:val="00414443"/>
    <w:rsid w:val="00414F82"/>
    <w:rsid w:val="00415019"/>
    <w:rsid w:val="00416A78"/>
    <w:rsid w:val="004177BC"/>
    <w:rsid w:val="004225B9"/>
    <w:rsid w:val="00423749"/>
    <w:rsid w:val="0042387F"/>
    <w:rsid w:val="00423CB0"/>
    <w:rsid w:val="00427343"/>
    <w:rsid w:val="00427959"/>
    <w:rsid w:val="00427B58"/>
    <w:rsid w:val="004314C1"/>
    <w:rsid w:val="00433D6F"/>
    <w:rsid w:val="00436AA4"/>
    <w:rsid w:val="004376C7"/>
    <w:rsid w:val="004416AB"/>
    <w:rsid w:val="00441A95"/>
    <w:rsid w:val="0044249A"/>
    <w:rsid w:val="00442E19"/>
    <w:rsid w:val="00444D06"/>
    <w:rsid w:val="0044526C"/>
    <w:rsid w:val="00446E77"/>
    <w:rsid w:val="004511D9"/>
    <w:rsid w:val="0045141C"/>
    <w:rsid w:val="004533C9"/>
    <w:rsid w:val="00453BD4"/>
    <w:rsid w:val="00453F64"/>
    <w:rsid w:val="004542F6"/>
    <w:rsid w:val="0045493A"/>
    <w:rsid w:val="00455EEB"/>
    <w:rsid w:val="004560B9"/>
    <w:rsid w:val="00457BD7"/>
    <w:rsid w:val="0046096A"/>
    <w:rsid w:val="00460C14"/>
    <w:rsid w:val="00461406"/>
    <w:rsid w:val="00463FBA"/>
    <w:rsid w:val="00465653"/>
    <w:rsid w:val="004659E5"/>
    <w:rsid w:val="00467CEE"/>
    <w:rsid w:val="004704DA"/>
    <w:rsid w:val="00472184"/>
    <w:rsid w:val="00474F75"/>
    <w:rsid w:val="0047521F"/>
    <w:rsid w:val="00475C5F"/>
    <w:rsid w:val="00477945"/>
    <w:rsid w:val="00477BB1"/>
    <w:rsid w:val="00477E4C"/>
    <w:rsid w:val="004812F6"/>
    <w:rsid w:val="00483D81"/>
    <w:rsid w:val="00484200"/>
    <w:rsid w:val="004842A1"/>
    <w:rsid w:val="0048482E"/>
    <w:rsid w:val="00484C13"/>
    <w:rsid w:val="0049050C"/>
    <w:rsid w:val="004908A4"/>
    <w:rsid w:val="004943C4"/>
    <w:rsid w:val="004952C4"/>
    <w:rsid w:val="00495AD6"/>
    <w:rsid w:val="00496A96"/>
    <w:rsid w:val="0049747F"/>
    <w:rsid w:val="00497816"/>
    <w:rsid w:val="004A05EC"/>
    <w:rsid w:val="004A0A43"/>
    <w:rsid w:val="004A100E"/>
    <w:rsid w:val="004A1181"/>
    <w:rsid w:val="004A1A6B"/>
    <w:rsid w:val="004A290F"/>
    <w:rsid w:val="004A39B0"/>
    <w:rsid w:val="004A3EE4"/>
    <w:rsid w:val="004A4A95"/>
    <w:rsid w:val="004B0985"/>
    <w:rsid w:val="004B28E1"/>
    <w:rsid w:val="004B2F97"/>
    <w:rsid w:val="004B3AAE"/>
    <w:rsid w:val="004B79F9"/>
    <w:rsid w:val="004C1E4D"/>
    <w:rsid w:val="004C6584"/>
    <w:rsid w:val="004C7FD3"/>
    <w:rsid w:val="004D03D3"/>
    <w:rsid w:val="004D1125"/>
    <w:rsid w:val="004D1446"/>
    <w:rsid w:val="004D27E8"/>
    <w:rsid w:val="004D3AAD"/>
    <w:rsid w:val="004D440E"/>
    <w:rsid w:val="004D4F9F"/>
    <w:rsid w:val="004D7975"/>
    <w:rsid w:val="004D7C1A"/>
    <w:rsid w:val="004D7FC6"/>
    <w:rsid w:val="004E0EA3"/>
    <w:rsid w:val="004E316D"/>
    <w:rsid w:val="004E46BE"/>
    <w:rsid w:val="004E543C"/>
    <w:rsid w:val="004E5802"/>
    <w:rsid w:val="004E6B2D"/>
    <w:rsid w:val="004E7644"/>
    <w:rsid w:val="004E7AA4"/>
    <w:rsid w:val="004F107C"/>
    <w:rsid w:val="004F1561"/>
    <w:rsid w:val="004F563E"/>
    <w:rsid w:val="004F6510"/>
    <w:rsid w:val="00503004"/>
    <w:rsid w:val="005031F8"/>
    <w:rsid w:val="00503599"/>
    <w:rsid w:val="005040BE"/>
    <w:rsid w:val="0050422A"/>
    <w:rsid w:val="00504980"/>
    <w:rsid w:val="005065C2"/>
    <w:rsid w:val="005071B7"/>
    <w:rsid w:val="00511801"/>
    <w:rsid w:val="00512B1A"/>
    <w:rsid w:val="005138D1"/>
    <w:rsid w:val="005145B7"/>
    <w:rsid w:val="00515952"/>
    <w:rsid w:val="00520A43"/>
    <w:rsid w:val="00522436"/>
    <w:rsid w:val="0052433D"/>
    <w:rsid w:val="00524AF7"/>
    <w:rsid w:val="0052515C"/>
    <w:rsid w:val="00527285"/>
    <w:rsid w:val="005306A9"/>
    <w:rsid w:val="005308F9"/>
    <w:rsid w:val="005330EC"/>
    <w:rsid w:val="005351E9"/>
    <w:rsid w:val="00536FE4"/>
    <w:rsid w:val="005379CF"/>
    <w:rsid w:val="00540A3A"/>
    <w:rsid w:val="00542927"/>
    <w:rsid w:val="00543C41"/>
    <w:rsid w:val="005441A6"/>
    <w:rsid w:val="00545907"/>
    <w:rsid w:val="0055024C"/>
    <w:rsid w:val="005508B4"/>
    <w:rsid w:val="00551573"/>
    <w:rsid w:val="00553F09"/>
    <w:rsid w:val="00556929"/>
    <w:rsid w:val="00556F0A"/>
    <w:rsid w:val="00556F3F"/>
    <w:rsid w:val="00557946"/>
    <w:rsid w:val="005632EA"/>
    <w:rsid w:val="00563B35"/>
    <w:rsid w:val="005648FB"/>
    <w:rsid w:val="00566B72"/>
    <w:rsid w:val="00567C27"/>
    <w:rsid w:val="0057076C"/>
    <w:rsid w:val="005710B9"/>
    <w:rsid w:val="00572A90"/>
    <w:rsid w:val="00573034"/>
    <w:rsid w:val="00573B70"/>
    <w:rsid w:val="00574C93"/>
    <w:rsid w:val="005752BF"/>
    <w:rsid w:val="00575EFA"/>
    <w:rsid w:val="00575FFD"/>
    <w:rsid w:val="00580552"/>
    <w:rsid w:val="0058352D"/>
    <w:rsid w:val="00583C4C"/>
    <w:rsid w:val="00586829"/>
    <w:rsid w:val="0059068D"/>
    <w:rsid w:val="005911A7"/>
    <w:rsid w:val="00592267"/>
    <w:rsid w:val="0059281C"/>
    <w:rsid w:val="00593ED5"/>
    <w:rsid w:val="00593F34"/>
    <w:rsid w:val="00596FE9"/>
    <w:rsid w:val="005A0C1F"/>
    <w:rsid w:val="005A42E3"/>
    <w:rsid w:val="005A6A85"/>
    <w:rsid w:val="005A6D2F"/>
    <w:rsid w:val="005A75EA"/>
    <w:rsid w:val="005A7798"/>
    <w:rsid w:val="005B13DF"/>
    <w:rsid w:val="005B36D9"/>
    <w:rsid w:val="005B482B"/>
    <w:rsid w:val="005B57A4"/>
    <w:rsid w:val="005B5920"/>
    <w:rsid w:val="005B5A84"/>
    <w:rsid w:val="005B6B2F"/>
    <w:rsid w:val="005B6F29"/>
    <w:rsid w:val="005C0B88"/>
    <w:rsid w:val="005C1478"/>
    <w:rsid w:val="005C20E8"/>
    <w:rsid w:val="005C2942"/>
    <w:rsid w:val="005C2B4D"/>
    <w:rsid w:val="005C678E"/>
    <w:rsid w:val="005D2ABA"/>
    <w:rsid w:val="005D549B"/>
    <w:rsid w:val="005E0B39"/>
    <w:rsid w:val="005E1112"/>
    <w:rsid w:val="005E2DCC"/>
    <w:rsid w:val="005E3BE7"/>
    <w:rsid w:val="005E6476"/>
    <w:rsid w:val="005E70F5"/>
    <w:rsid w:val="005E7A52"/>
    <w:rsid w:val="005F30DD"/>
    <w:rsid w:val="005F325F"/>
    <w:rsid w:val="005F5E11"/>
    <w:rsid w:val="005F70F3"/>
    <w:rsid w:val="005F778E"/>
    <w:rsid w:val="0060214B"/>
    <w:rsid w:val="006047ED"/>
    <w:rsid w:val="006062E7"/>
    <w:rsid w:val="00606601"/>
    <w:rsid w:val="00606E1B"/>
    <w:rsid w:val="00607287"/>
    <w:rsid w:val="006075B3"/>
    <w:rsid w:val="00607E31"/>
    <w:rsid w:val="00615165"/>
    <w:rsid w:val="00620F86"/>
    <w:rsid w:val="006213C0"/>
    <w:rsid w:val="006243C9"/>
    <w:rsid w:val="0062585B"/>
    <w:rsid w:val="00625D4D"/>
    <w:rsid w:val="00631087"/>
    <w:rsid w:val="006310A3"/>
    <w:rsid w:val="00631658"/>
    <w:rsid w:val="00632241"/>
    <w:rsid w:val="006350A2"/>
    <w:rsid w:val="00635221"/>
    <w:rsid w:val="00637395"/>
    <w:rsid w:val="00641417"/>
    <w:rsid w:val="00644ED9"/>
    <w:rsid w:val="00646B73"/>
    <w:rsid w:val="006504A3"/>
    <w:rsid w:val="006515AA"/>
    <w:rsid w:val="00652CE0"/>
    <w:rsid w:val="00653BED"/>
    <w:rsid w:val="00654321"/>
    <w:rsid w:val="00654326"/>
    <w:rsid w:val="00656498"/>
    <w:rsid w:val="006577BE"/>
    <w:rsid w:val="00657FBF"/>
    <w:rsid w:val="00661012"/>
    <w:rsid w:val="006624CC"/>
    <w:rsid w:val="00662ED0"/>
    <w:rsid w:val="0066368A"/>
    <w:rsid w:val="00664575"/>
    <w:rsid w:val="00667148"/>
    <w:rsid w:val="00672579"/>
    <w:rsid w:val="00672870"/>
    <w:rsid w:val="006809E4"/>
    <w:rsid w:val="00682336"/>
    <w:rsid w:val="0068314D"/>
    <w:rsid w:val="0068317C"/>
    <w:rsid w:val="006872B1"/>
    <w:rsid w:val="00691E38"/>
    <w:rsid w:val="00692E8B"/>
    <w:rsid w:val="00697EF2"/>
    <w:rsid w:val="006A072B"/>
    <w:rsid w:val="006A13AB"/>
    <w:rsid w:val="006A1F93"/>
    <w:rsid w:val="006A2D8B"/>
    <w:rsid w:val="006A3927"/>
    <w:rsid w:val="006A39FF"/>
    <w:rsid w:val="006B06B8"/>
    <w:rsid w:val="006B0DA9"/>
    <w:rsid w:val="006B1225"/>
    <w:rsid w:val="006B1B76"/>
    <w:rsid w:val="006B262A"/>
    <w:rsid w:val="006B2FDE"/>
    <w:rsid w:val="006B64A2"/>
    <w:rsid w:val="006B78B4"/>
    <w:rsid w:val="006C069B"/>
    <w:rsid w:val="006C08B9"/>
    <w:rsid w:val="006C0B52"/>
    <w:rsid w:val="006C53B8"/>
    <w:rsid w:val="006C5E01"/>
    <w:rsid w:val="006C73DA"/>
    <w:rsid w:val="006C79BC"/>
    <w:rsid w:val="006D159B"/>
    <w:rsid w:val="006D1927"/>
    <w:rsid w:val="006D193F"/>
    <w:rsid w:val="006D4AB1"/>
    <w:rsid w:val="006D66E3"/>
    <w:rsid w:val="006E098B"/>
    <w:rsid w:val="006E3877"/>
    <w:rsid w:val="006E3AA7"/>
    <w:rsid w:val="006E3DC5"/>
    <w:rsid w:val="006E4497"/>
    <w:rsid w:val="006E6AEA"/>
    <w:rsid w:val="006F4C1F"/>
    <w:rsid w:val="006F5F91"/>
    <w:rsid w:val="006F6F7F"/>
    <w:rsid w:val="006F775F"/>
    <w:rsid w:val="00702176"/>
    <w:rsid w:val="00702743"/>
    <w:rsid w:val="00702C98"/>
    <w:rsid w:val="007037D1"/>
    <w:rsid w:val="007046C9"/>
    <w:rsid w:val="0070658B"/>
    <w:rsid w:val="0070753F"/>
    <w:rsid w:val="007102E4"/>
    <w:rsid w:val="00710DD3"/>
    <w:rsid w:val="007111A0"/>
    <w:rsid w:val="007128C6"/>
    <w:rsid w:val="00714580"/>
    <w:rsid w:val="00714CC2"/>
    <w:rsid w:val="0072171B"/>
    <w:rsid w:val="00727EEC"/>
    <w:rsid w:val="00730B10"/>
    <w:rsid w:val="00733427"/>
    <w:rsid w:val="00733BF0"/>
    <w:rsid w:val="00735097"/>
    <w:rsid w:val="007355A2"/>
    <w:rsid w:val="00736735"/>
    <w:rsid w:val="0073798D"/>
    <w:rsid w:val="00737DCA"/>
    <w:rsid w:val="0074026D"/>
    <w:rsid w:val="0074055A"/>
    <w:rsid w:val="00740664"/>
    <w:rsid w:val="00740955"/>
    <w:rsid w:val="00741C4F"/>
    <w:rsid w:val="00741D80"/>
    <w:rsid w:val="00741F9C"/>
    <w:rsid w:val="0074278B"/>
    <w:rsid w:val="00742BCE"/>
    <w:rsid w:val="00742F02"/>
    <w:rsid w:val="00743800"/>
    <w:rsid w:val="00745146"/>
    <w:rsid w:val="0074689E"/>
    <w:rsid w:val="0074766B"/>
    <w:rsid w:val="007503F0"/>
    <w:rsid w:val="007519D7"/>
    <w:rsid w:val="0075371A"/>
    <w:rsid w:val="00753788"/>
    <w:rsid w:val="00755E50"/>
    <w:rsid w:val="007564EF"/>
    <w:rsid w:val="00756746"/>
    <w:rsid w:val="007567A8"/>
    <w:rsid w:val="00761C88"/>
    <w:rsid w:val="00762DC2"/>
    <w:rsid w:val="007673CD"/>
    <w:rsid w:val="007674F4"/>
    <w:rsid w:val="0077099C"/>
    <w:rsid w:val="00771684"/>
    <w:rsid w:val="0077375F"/>
    <w:rsid w:val="00773879"/>
    <w:rsid w:val="00773B94"/>
    <w:rsid w:val="00774570"/>
    <w:rsid w:val="00774CCA"/>
    <w:rsid w:val="00774DAE"/>
    <w:rsid w:val="00777016"/>
    <w:rsid w:val="00781EE8"/>
    <w:rsid w:val="007826BF"/>
    <w:rsid w:val="00782E19"/>
    <w:rsid w:val="007840B0"/>
    <w:rsid w:val="00786334"/>
    <w:rsid w:val="00786DAF"/>
    <w:rsid w:val="007903D6"/>
    <w:rsid w:val="00790828"/>
    <w:rsid w:val="00790FAF"/>
    <w:rsid w:val="007910D9"/>
    <w:rsid w:val="00796D05"/>
    <w:rsid w:val="00796E8E"/>
    <w:rsid w:val="00796F41"/>
    <w:rsid w:val="007A0A27"/>
    <w:rsid w:val="007A1507"/>
    <w:rsid w:val="007A175B"/>
    <w:rsid w:val="007A37AC"/>
    <w:rsid w:val="007A6A6E"/>
    <w:rsid w:val="007A7BBD"/>
    <w:rsid w:val="007A7D3D"/>
    <w:rsid w:val="007B0C8A"/>
    <w:rsid w:val="007B1AB5"/>
    <w:rsid w:val="007B2E72"/>
    <w:rsid w:val="007B2F4A"/>
    <w:rsid w:val="007B470F"/>
    <w:rsid w:val="007B6E03"/>
    <w:rsid w:val="007C09BD"/>
    <w:rsid w:val="007C1D94"/>
    <w:rsid w:val="007C38E4"/>
    <w:rsid w:val="007C65D1"/>
    <w:rsid w:val="007C6944"/>
    <w:rsid w:val="007C71BC"/>
    <w:rsid w:val="007C7CA5"/>
    <w:rsid w:val="007D071F"/>
    <w:rsid w:val="007D0812"/>
    <w:rsid w:val="007E1BF3"/>
    <w:rsid w:val="007E3F89"/>
    <w:rsid w:val="007E5F2B"/>
    <w:rsid w:val="007E68AB"/>
    <w:rsid w:val="007E78F4"/>
    <w:rsid w:val="007F1B02"/>
    <w:rsid w:val="007F1D7A"/>
    <w:rsid w:val="007F4B63"/>
    <w:rsid w:val="007F5185"/>
    <w:rsid w:val="007F522E"/>
    <w:rsid w:val="007F678D"/>
    <w:rsid w:val="00803B6F"/>
    <w:rsid w:val="00804ED8"/>
    <w:rsid w:val="008058C2"/>
    <w:rsid w:val="00806B39"/>
    <w:rsid w:val="00810A72"/>
    <w:rsid w:val="008138EB"/>
    <w:rsid w:val="00814CFD"/>
    <w:rsid w:val="008154FB"/>
    <w:rsid w:val="00816D34"/>
    <w:rsid w:val="008176B5"/>
    <w:rsid w:val="008176C1"/>
    <w:rsid w:val="00817DE9"/>
    <w:rsid w:val="00821292"/>
    <w:rsid w:val="00821CB6"/>
    <w:rsid w:val="00823223"/>
    <w:rsid w:val="0082788C"/>
    <w:rsid w:val="00827AD6"/>
    <w:rsid w:val="00830814"/>
    <w:rsid w:val="0083107B"/>
    <w:rsid w:val="008319DB"/>
    <w:rsid w:val="00832434"/>
    <w:rsid w:val="00833166"/>
    <w:rsid w:val="00833D13"/>
    <w:rsid w:val="008406B4"/>
    <w:rsid w:val="00842E7C"/>
    <w:rsid w:val="00843B6B"/>
    <w:rsid w:val="00845708"/>
    <w:rsid w:val="00845B05"/>
    <w:rsid w:val="00850E38"/>
    <w:rsid w:val="00851AFC"/>
    <w:rsid w:val="00852DA0"/>
    <w:rsid w:val="008535BE"/>
    <w:rsid w:val="008536B5"/>
    <w:rsid w:val="00857E16"/>
    <w:rsid w:val="00860C1A"/>
    <w:rsid w:val="0086139F"/>
    <w:rsid w:val="0086198A"/>
    <w:rsid w:val="0086438F"/>
    <w:rsid w:val="0086452B"/>
    <w:rsid w:val="00865D65"/>
    <w:rsid w:val="00866271"/>
    <w:rsid w:val="00867359"/>
    <w:rsid w:val="00874DE6"/>
    <w:rsid w:val="00874E03"/>
    <w:rsid w:val="0087557A"/>
    <w:rsid w:val="00875669"/>
    <w:rsid w:val="00875C63"/>
    <w:rsid w:val="00875D0F"/>
    <w:rsid w:val="00876D4A"/>
    <w:rsid w:val="008778B3"/>
    <w:rsid w:val="00877B2F"/>
    <w:rsid w:val="00877CA8"/>
    <w:rsid w:val="00880044"/>
    <w:rsid w:val="00880D7B"/>
    <w:rsid w:val="00880F24"/>
    <w:rsid w:val="008836EC"/>
    <w:rsid w:val="00885552"/>
    <w:rsid w:val="008857E2"/>
    <w:rsid w:val="00886034"/>
    <w:rsid w:val="00886AA2"/>
    <w:rsid w:val="008870D6"/>
    <w:rsid w:val="00890B54"/>
    <w:rsid w:val="0089237A"/>
    <w:rsid w:val="00892809"/>
    <w:rsid w:val="008941BC"/>
    <w:rsid w:val="00895357"/>
    <w:rsid w:val="0089551B"/>
    <w:rsid w:val="008A3590"/>
    <w:rsid w:val="008A4452"/>
    <w:rsid w:val="008B111C"/>
    <w:rsid w:val="008B2C4E"/>
    <w:rsid w:val="008B3DE2"/>
    <w:rsid w:val="008B4384"/>
    <w:rsid w:val="008B46E0"/>
    <w:rsid w:val="008B7963"/>
    <w:rsid w:val="008C1284"/>
    <w:rsid w:val="008C2400"/>
    <w:rsid w:val="008C29EA"/>
    <w:rsid w:val="008C4C64"/>
    <w:rsid w:val="008C75D8"/>
    <w:rsid w:val="008D37C9"/>
    <w:rsid w:val="008D4CB9"/>
    <w:rsid w:val="008D65E9"/>
    <w:rsid w:val="008D78C7"/>
    <w:rsid w:val="008D79E3"/>
    <w:rsid w:val="008D7A37"/>
    <w:rsid w:val="008E146E"/>
    <w:rsid w:val="008E3497"/>
    <w:rsid w:val="008E4D02"/>
    <w:rsid w:val="008E5D71"/>
    <w:rsid w:val="008F14B9"/>
    <w:rsid w:val="008F1F9C"/>
    <w:rsid w:val="008F4B2B"/>
    <w:rsid w:val="008F50F1"/>
    <w:rsid w:val="008F55B9"/>
    <w:rsid w:val="008F5BE2"/>
    <w:rsid w:val="00900220"/>
    <w:rsid w:val="00900301"/>
    <w:rsid w:val="009070F8"/>
    <w:rsid w:val="009077FA"/>
    <w:rsid w:val="009106CD"/>
    <w:rsid w:val="009108B2"/>
    <w:rsid w:val="0091138C"/>
    <w:rsid w:val="00913B48"/>
    <w:rsid w:val="009143B6"/>
    <w:rsid w:val="0091442C"/>
    <w:rsid w:val="00914786"/>
    <w:rsid w:val="00914F7C"/>
    <w:rsid w:val="0091510A"/>
    <w:rsid w:val="009160A3"/>
    <w:rsid w:val="00917A7A"/>
    <w:rsid w:val="00917CE6"/>
    <w:rsid w:val="00920854"/>
    <w:rsid w:val="00920CF8"/>
    <w:rsid w:val="0092219B"/>
    <w:rsid w:val="0092319C"/>
    <w:rsid w:val="009249F7"/>
    <w:rsid w:val="00925B80"/>
    <w:rsid w:val="00925DB6"/>
    <w:rsid w:val="0092638C"/>
    <w:rsid w:val="009301B7"/>
    <w:rsid w:val="00930E1C"/>
    <w:rsid w:val="00931DDB"/>
    <w:rsid w:val="0093308E"/>
    <w:rsid w:val="009343FE"/>
    <w:rsid w:val="00940091"/>
    <w:rsid w:val="00941B1D"/>
    <w:rsid w:val="00942231"/>
    <w:rsid w:val="00942896"/>
    <w:rsid w:val="00943D32"/>
    <w:rsid w:val="00945570"/>
    <w:rsid w:val="0094615F"/>
    <w:rsid w:val="009526DF"/>
    <w:rsid w:val="0095458B"/>
    <w:rsid w:val="0095470F"/>
    <w:rsid w:val="009549DD"/>
    <w:rsid w:val="00955565"/>
    <w:rsid w:val="00957F99"/>
    <w:rsid w:val="00960121"/>
    <w:rsid w:val="00960156"/>
    <w:rsid w:val="009614C9"/>
    <w:rsid w:val="009623D0"/>
    <w:rsid w:val="00962672"/>
    <w:rsid w:val="00962C2A"/>
    <w:rsid w:val="009642BC"/>
    <w:rsid w:val="0096640A"/>
    <w:rsid w:val="0097227C"/>
    <w:rsid w:val="00972461"/>
    <w:rsid w:val="009756AE"/>
    <w:rsid w:val="009802D4"/>
    <w:rsid w:val="00980AC0"/>
    <w:rsid w:val="00982A38"/>
    <w:rsid w:val="00982F7D"/>
    <w:rsid w:val="00983631"/>
    <w:rsid w:val="00984336"/>
    <w:rsid w:val="00984735"/>
    <w:rsid w:val="00984AD9"/>
    <w:rsid w:val="0098526E"/>
    <w:rsid w:val="00987836"/>
    <w:rsid w:val="00991FA0"/>
    <w:rsid w:val="009932C9"/>
    <w:rsid w:val="00996DAF"/>
    <w:rsid w:val="00996DC7"/>
    <w:rsid w:val="009A3101"/>
    <w:rsid w:val="009A3588"/>
    <w:rsid w:val="009A6177"/>
    <w:rsid w:val="009A7D57"/>
    <w:rsid w:val="009B0236"/>
    <w:rsid w:val="009B0490"/>
    <w:rsid w:val="009B08EB"/>
    <w:rsid w:val="009B0CC1"/>
    <w:rsid w:val="009B17D0"/>
    <w:rsid w:val="009B1DCA"/>
    <w:rsid w:val="009B2735"/>
    <w:rsid w:val="009B2A51"/>
    <w:rsid w:val="009B5B40"/>
    <w:rsid w:val="009B5F19"/>
    <w:rsid w:val="009B7089"/>
    <w:rsid w:val="009C18DE"/>
    <w:rsid w:val="009C1DD4"/>
    <w:rsid w:val="009C21BF"/>
    <w:rsid w:val="009C6550"/>
    <w:rsid w:val="009C7078"/>
    <w:rsid w:val="009D0A8D"/>
    <w:rsid w:val="009D1905"/>
    <w:rsid w:val="009D1AFE"/>
    <w:rsid w:val="009D3152"/>
    <w:rsid w:val="009D3477"/>
    <w:rsid w:val="009D4BCB"/>
    <w:rsid w:val="009D4DCC"/>
    <w:rsid w:val="009D61F3"/>
    <w:rsid w:val="009D7C16"/>
    <w:rsid w:val="009E0B62"/>
    <w:rsid w:val="009E408C"/>
    <w:rsid w:val="009E417A"/>
    <w:rsid w:val="009E553E"/>
    <w:rsid w:val="009E5CE4"/>
    <w:rsid w:val="009E655B"/>
    <w:rsid w:val="009F1839"/>
    <w:rsid w:val="009F1C8A"/>
    <w:rsid w:val="009F1D0B"/>
    <w:rsid w:val="009F4242"/>
    <w:rsid w:val="009F5C4A"/>
    <w:rsid w:val="009F65A1"/>
    <w:rsid w:val="009F6D10"/>
    <w:rsid w:val="009F6D4C"/>
    <w:rsid w:val="00A00BB2"/>
    <w:rsid w:val="00A058BA"/>
    <w:rsid w:val="00A0643C"/>
    <w:rsid w:val="00A06588"/>
    <w:rsid w:val="00A11226"/>
    <w:rsid w:val="00A12437"/>
    <w:rsid w:val="00A14DAD"/>
    <w:rsid w:val="00A167CE"/>
    <w:rsid w:val="00A2115D"/>
    <w:rsid w:val="00A215E2"/>
    <w:rsid w:val="00A221EC"/>
    <w:rsid w:val="00A2233D"/>
    <w:rsid w:val="00A234D6"/>
    <w:rsid w:val="00A26336"/>
    <w:rsid w:val="00A277A6"/>
    <w:rsid w:val="00A31E31"/>
    <w:rsid w:val="00A32A5B"/>
    <w:rsid w:val="00A36867"/>
    <w:rsid w:val="00A3743E"/>
    <w:rsid w:val="00A37DE2"/>
    <w:rsid w:val="00A40C61"/>
    <w:rsid w:val="00A438CC"/>
    <w:rsid w:val="00A43AC3"/>
    <w:rsid w:val="00A43D0D"/>
    <w:rsid w:val="00A45176"/>
    <w:rsid w:val="00A46AAF"/>
    <w:rsid w:val="00A4758A"/>
    <w:rsid w:val="00A50264"/>
    <w:rsid w:val="00A51975"/>
    <w:rsid w:val="00A537AB"/>
    <w:rsid w:val="00A54636"/>
    <w:rsid w:val="00A54F01"/>
    <w:rsid w:val="00A561DD"/>
    <w:rsid w:val="00A562FB"/>
    <w:rsid w:val="00A57956"/>
    <w:rsid w:val="00A6325C"/>
    <w:rsid w:val="00A6388C"/>
    <w:rsid w:val="00A6597D"/>
    <w:rsid w:val="00A661EB"/>
    <w:rsid w:val="00A70BB8"/>
    <w:rsid w:val="00A70CB2"/>
    <w:rsid w:val="00A7161B"/>
    <w:rsid w:val="00A723F3"/>
    <w:rsid w:val="00A7429D"/>
    <w:rsid w:val="00A75433"/>
    <w:rsid w:val="00A75F6E"/>
    <w:rsid w:val="00A803D4"/>
    <w:rsid w:val="00A80B85"/>
    <w:rsid w:val="00A82138"/>
    <w:rsid w:val="00A84AD0"/>
    <w:rsid w:val="00A84B44"/>
    <w:rsid w:val="00A84F6E"/>
    <w:rsid w:val="00A85A70"/>
    <w:rsid w:val="00A85D9A"/>
    <w:rsid w:val="00A869CE"/>
    <w:rsid w:val="00A87C18"/>
    <w:rsid w:val="00A91220"/>
    <w:rsid w:val="00A92449"/>
    <w:rsid w:val="00A945B6"/>
    <w:rsid w:val="00A9462C"/>
    <w:rsid w:val="00A95B52"/>
    <w:rsid w:val="00A9608F"/>
    <w:rsid w:val="00AA0150"/>
    <w:rsid w:val="00AA2FE3"/>
    <w:rsid w:val="00AA4B49"/>
    <w:rsid w:val="00AA6687"/>
    <w:rsid w:val="00AA7A57"/>
    <w:rsid w:val="00AA7DDD"/>
    <w:rsid w:val="00AB0365"/>
    <w:rsid w:val="00AB3561"/>
    <w:rsid w:val="00AB38F9"/>
    <w:rsid w:val="00AB3C12"/>
    <w:rsid w:val="00AB7C78"/>
    <w:rsid w:val="00AC0279"/>
    <w:rsid w:val="00AC04C6"/>
    <w:rsid w:val="00AC0737"/>
    <w:rsid w:val="00AC115E"/>
    <w:rsid w:val="00AC2C4F"/>
    <w:rsid w:val="00AC39CD"/>
    <w:rsid w:val="00AC3B22"/>
    <w:rsid w:val="00AD055E"/>
    <w:rsid w:val="00AD2959"/>
    <w:rsid w:val="00AD2DB4"/>
    <w:rsid w:val="00AD2DD4"/>
    <w:rsid w:val="00AD31EB"/>
    <w:rsid w:val="00AD3EB2"/>
    <w:rsid w:val="00AE1A17"/>
    <w:rsid w:val="00AE237B"/>
    <w:rsid w:val="00AE5F9E"/>
    <w:rsid w:val="00AE6D2F"/>
    <w:rsid w:val="00AE7B1F"/>
    <w:rsid w:val="00AF1BA1"/>
    <w:rsid w:val="00AF2C0C"/>
    <w:rsid w:val="00AF7CB4"/>
    <w:rsid w:val="00B01ACF"/>
    <w:rsid w:val="00B04C48"/>
    <w:rsid w:val="00B10695"/>
    <w:rsid w:val="00B10897"/>
    <w:rsid w:val="00B10938"/>
    <w:rsid w:val="00B10C9B"/>
    <w:rsid w:val="00B13701"/>
    <w:rsid w:val="00B13EAC"/>
    <w:rsid w:val="00B14784"/>
    <w:rsid w:val="00B14CD9"/>
    <w:rsid w:val="00B14F6E"/>
    <w:rsid w:val="00B22EB8"/>
    <w:rsid w:val="00B23386"/>
    <w:rsid w:val="00B25F28"/>
    <w:rsid w:val="00B262F8"/>
    <w:rsid w:val="00B30ED4"/>
    <w:rsid w:val="00B337D3"/>
    <w:rsid w:val="00B33EEC"/>
    <w:rsid w:val="00B37120"/>
    <w:rsid w:val="00B4376A"/>
    <w:rsid w:val="00B4377D"/>
    <w:rsid w:val="00B46574"/>
    <w:rsid w:val="00B53E96"/>
    <w:rsid w:val="00B565DD"/>
    <w:rsid w:val="00B57664"/>
    <w:rsid w:val="00B576BB"/>
    <w:rsid w:val="00B60C24"/>
    <w:rsid w:val="00B6145D"/>
    <w:rsid w:val="00B62981"/>
    <w:rsid w:val="00B64140"/>
    <w:rsid w:val="00B738EE"/>
    <w:rsid w:val="00B74E15"/>
    <w:rsid w:val="00B75BBB"/>
    <w:rsid w:val="00B77C03"/>
    <w:rsid w:val="00B81D97"/>
    <w:rsid w:val="00B82766"/>
    <w:rsid w:val="00B8286B"/>
    <w:rsid w:val="00B829E4"/>
    <w:rsid w:val="00B83742"/>
    <w:rsid w:val="00B84AAF"/>
    <w:rsid w:val="00B84AF2"/>
    <w:rsid w:val="00B852B2"/>
    <w:rsid w:val="00B85EB5"/>
    <w:rsid w:val="00B85FB9"/>
    <w:rsid w:val="00B94236"/>
    <w:rsid w:val="00B944BC"/>
    <w:rsid w:val="00BA0D76"/>
    <w:rsid w:val="00BA169B"/>
    <w:rsid w:val="00BA1AD8"/>
    <w:rsid w:val="00BA27D4"/>
    <w:rsid w:val="00BA5A3E"/>
    <w:rsid w:val="00BA6B43"/>
    <w:rsid w:val="00BA7325"/>
    <w:rsid w:val="00BB1B3D"/>
    <w:rsid w:val="00BB26CB"/>
    <w:rsid w:val="00BB3293"/>
    <w:rsid w:val="00BB3D7E"/>
    <w:rsid w:val="00BB78A9"/>
    <w:rsid w:val="00BB7E9E"/>
    <w:rsid w:val="00BC15C0"/>
    <w:rsid w:val="00BC1BCC"/>
    <w:rsid w:val="00BC206F"/>
    <w:rsid w:val="00BC2DAB"/>
    <w:rsid w:val="00BC4648"/>
    <w:rsid w:val="00BC6E7C"/>
    <w:rsid w:val="00BC6EE8"/>
    <w:rsid w:val="00BD0250"/>
    <w:rsid w:val="00BD1749"/>
    <w:rsid w:val="00BD3963"/>
    <w:rsid w:val="00BD45C9"/>
    <w:rsid w:val="00BD506D"/>
    <w:rsid w:val="00BE1475"/>
    <w:rsid w:val="00BE1939"/>
    <w:rsid w:val="00BE4990"/>
    <w:rsid w:val="00BE73D5"/>
    <w:rsid w:val="00BE7D9B"/>
    <w:rsid w:val="00BF06D5"/>
    <w:rsid w:val="00BF195D"/>
    <w:rsid w:val="00BF21B2"/>
    <w:rsid w:val="00BF3700"/>
    <w:rsid w:val="00BF5918"/>
    <w:rsid w:val="00BF6405"/>
    <w:rsid w:val="00C00828"/>
    <w:rsid w:val="00C03190"/>
    <w:rsid w:val="00C040A4"/>
    <w:rsid w:val="00C05605"/>
    <w:rsid w:val="00C05BD6"/>
    <w:rsid w:val="00C06422"/>
    <w:rsid w:val="00C076E7"/>
    <w:rsid w:val="00C07C2A"/>
    <w:rsid w:val="00C07F02"/>
    <w:rsid w:val="00C11107"/>
    <w:rsid w:val="00C12E7A"/>
    <w:rsid w:val="00C12ED5"/>
    <w:rsid w:val="00C135D2"/>
    <w:rsid w:val="00C151EA"/>
    <w:rsid w:val="00C1736D"/>
    <w:rsid w:val="00C179E0"/>
    <w:rsid w:val="00C225E9"/>
    <w:rsid w:val="00C23036"/>
    <w:rsid w:val="00C230B7"/>
    <w:rsid w:val="00C30595"/>
    <w:rsid w:val="00C32E36"/>
    <w:rsid w:val="00C33849"/>
    <w:rsid w:val="00C34CB6"/>
    <w:rsid w:val="00C4010E"/>
    <w:rsid w:val="00C42226"/>
    <w:rsid w:val="00C46595"/>
    <w:rsid w:val="00C503BF"/>
    <w:rsid w:val="00C51471"/>
    <w:rsid w:val="00C5354E"/>
    <w:rsid w:val="00C54095"/>
    <w:rsid w:val="00C56BD1"/>
    <w:rsid w:val="00C604E7"/>
    <w:rsid w:val="00C60C6F"/>
    <w:rsid w:val="00C61CBE"/>
    <w:rsid w:val="00C63F13"/>
    <w:rsid w:val="00C64651"/>
    <w:rsid w:val="00C70156"/>
    <w:rsid w:val="00C7092C"/>
    <w:rsid w:val="00C714AD"/>
    <w:rsid w:val="00C73CD3"/>
    <w:rsid w:val="00C767B5"/>
    <w:rsid w:val="00C76DC5"/>
    <w:rsid w:val="00C80725"/>
    <w:rsid w:val="00C82F6A"/>
    <w:rsid w:val="00C83213"/>
    <w:rsid w:val="00C839FD"/>
    <w:rsid w:val="00C853C6"/>
    <w:rsid w:val="00C86C5A"/>
    <w:rsid w:val="00C92154"/>
    <w:rsid w:val="00C92986"/>
    <w:rsid w:val="00C94936"/>
    <w:rsid w:val="00C9501C"/>
    <w:rsid w:val="00C9630F"/>
    <w:rsid w:val="00CA058E"/>
    <w:rsid w:val="00CA0CF3"/>
    <w:rsid w:val="00CA162C"/>
    <w:rsid w:val="00CA191E"/>
    <w:rsid w:val="00CA290D"/>
    <w:rsid w:val="00CA309C"/>
    <w:rsid w:val="00CA3F63"/>
    <w:rsid w:val="00CA5336"/>
    <w:rsid w:val="00CB1D11"/>
    <w:rsid w:val="00CB23FF"/>
    <w:rsid w:val="00CB4227"/>
    <w:rsid w:val="00CB51D6"/>
    <w:rsid w:val="00CB630B"/>
    <w:rsid w:val="00CB792E"/>
    <w:rsid w:val="00CC03A9"/>
    <w:rsid w:val="00CC1101"/>
    <w:rsid w:val="00CC1F2A"/>
    <w:rsid w:val="00CC1F3D"/>
    <w:rsid w:val="00CC1F76"/>
    <w:rsid w:val="00CC33D3"/>
    <w:rsid w:val="00CC3D12"/>
    <w:rsid w:val="00CC527D"/>
    <w:rsid w:val="00CC75DE"/>
    <w:rsid w:val="00CD0112"/>
    <w:rsid w:val="00CD0FB2"/>
    <w:rsid w:val="00CD1414"/>
    <w:rsid w:val="00CD1FB3"/>
    <w:rsid w:val="00CD28AD"/>
    <w:rsid w:val="00CD3A87"/>
    <w:rsid w:val="00CD4150"/>
    <w:rsid w:val="00CD60CA"/>
    <w:rsid w:val="00CE0373"/>
    <w:rsid w:val="00CE2323"/>
    <w:rsid w:val="00CE2A07"/>
    <w:rsid w:val="00CE2C18"/>
    <w:rsid w:val="00CE46E7"/>
    <w:rsid w:val="00CE6C53"/>
    <w:rsid w:val="00CF14FA"/>
    <w:rsid w:val="00CF1648"/>
    <w:rsid w:val="00CF43F4"/>
    <w:rsid w:val="00CF5410"/>
    <w:rsid w:val="00D004A7"/>
    <w:rsid w:val="00D0715B"/>
    <w:rsid w:val="00D07238"/>
    <w:rsid w:val="00D074DE"/>
    <w:rsid w:val="00D1007D"/>
    <w:rsid w:val="00D11D57"/>
    <w:rsid w:val="00D13899"/>
    <w:rsid w:val="00D138B3"/>
    <w:rsid w:val="00D17722"/>
    <w:rsid w:val="00D2035F"/>
    <w:rsid w:val="00D20665"/>
    <w:rsid w:val="00D26D5F"/>
    <w:rsid w:val="00D27C08"/>
    <w:rsid w:val="00D31A79"/>
    <w:rsid w:val="00D3236C"/>
    <w:rsid w:val="00D32ECA"/>
    <w:rsid w:val="00D33B55"/>
    <w:rsid w:val="00D354B6"/>
    <w:rsid w:val="00D41B24"/>
    <w:rsid w:val="00D430CF"/>
    <w:rsid w:val="00D50A65"/>
    <w:rsid w:val="00D57C54"/>
    <w:rsid w:val="00D6041F"/>
    <w:rsid w:val="00D61056"/>
    <w:rsid w:val="00D63B3F"/>
    <w:rsid w:val="00D646BC"/>
    <w:rsid w:val="00D649D3"/>
    <w:rsid w:val="00D67BA7"/>
    <w:rsid w:val="00D71A5E"/>
    <w:rsid w:val="00D722E3"/>
    <w:rsid w:val="00D72533"/>
    <w:rsid w:val="00D72883"/>
    <w:rsid w:val="00D7483C"/>
    <w:rsid w:val="00D75C01"/>
    <w:rsid w:val="00D7793E"/>
    <w:rsid w:val="00D77EEE"/>
    <w:rsid w:val="00D83970"/>
    <w:rsid w:val="00D84E62"/>
    <w:rsid w:val="00D84F99"/>
    <w:rsid w:val="00D84FD0"/>
    <w:rsid w:val="00D853A6"/>
    <w:rsid w:val="00D85889"/>
    <w:rsid w:val="00D8702E"/>
    <w:rsid w:val="00D8705E"/>
    <w:rsid w:val="00D873C7"/>
    <w:rsid w:val="00D87470"/>
    <w:rsid w:val="00D87BA6"/>
    <w:rsid w:val="00D87BE0"/>
    <w:rsid w:val="00D903A0"/>
    <w:rsid w:val="00D90B5B"/>
    <w:rsid w:val="00D9360F"/>
    <w:rsid w:val="00D9448C"/>
    <w:rsid w:val="00D94550"/>
    <w:rsid w:val="00D94DCC"/>
    <w:rsid w:val="00D9597C"/>
    <w:rsid w:val="00DA0D6A"/>
    <w:rsid w:val="00DA1438"/>
    <w:rsid w:val="00DA596C"/>
    <w:rsid w:val="00DA66F1"/>
    <w:rsid w:val="00DB1164"/>
    <w:rsid w:val="00DB2BB7"/>
    <w:rsid w:val="00DB7089"/>
    <w:rsid w:val="00DB7CF4"/>
    <w:rsid w:val="00DB7FC7"/>
    <w:rsid w:val="00DC1089"/>
    <w:rsid w:val="00DC3CE5"/>
    <w:rsid w:val="00DC4BA1"/>
    <w:rsid w:val="00DC558A"/>
    <w:rsid w:val="00DD285D"/>
    <w:rsid w:val="00DD522D"/>
    <w:rsid w:val="00DD64C1"/>
    <w:rsid w:val="00DD666F"/>
    <w:rsid w:val="00DD68A5"/>
    <w:rsid w:val="00DD71E4"/>
    <w:rsid w:val="00DE0CA7"/>
    <w:rsid w:val="00DE282E"/>
    <w:rsid w:val="00DE3987"/>
    <w:rsid w:val="00DE5A23"/>
    <w:rsid w:val="00DE5EC4"/>
    <w:rsid w:val="00DF1783"/>
    <w:rsid w:val="00DF28A6"/>
    <w:rsid w:val="00DF29D0"/>
    <w:rsid w:val="00DF2BD6"/>
    <w:rsid w:val="00DF37E7"/>
    <w:rsid w:val="00DF71AD"/>
    <w:rsid w:val="00E00A18"/>
    <w:rsid w:val="00E01429"/>
    <w:rsid w:val="00E028F3"/>
    <w:rsid w:val="00E0308E"/>
    <w:rsid w:val="00E03F36"/>
    <w:rsid w:val="00E05B41"/>
    <w:rsid w:val="00E078DB"/>
    <w:rsid w:val="00E1216F"/>
    <w:rsid w:val="00E14E87"/>
    <w:rsid w:val="00E15570"/>
    <w:rsid w:val="00E165F2"/>
    <w:rsid w:val="00E21C33"/>
    <w:rsid w:val="00E26A97"/>
    <w:rsid w:val="00E26DF8"/>
    <w:rsid w:val="00E27B7E"/>
    <w:rsid w:val="00E30661"/>
    <w:rsid w:val="00E322DE"/>
    <w:rsid w:val="00E3273E"/>
    <w:rsid w:val="00E32884"/>
    <w:rsid w:val="00E33438"/>
    <w:rsid w:val="00E359DB"/>
    <w:rsid w:val="00E36437"/>
    <w:rsid w:val="00E366D8"/>
    <w:rsid w:val="00E36F98"/>
    <w:rsid w:val="00E43240"/>
    <w:rsid w:val="00E4365E"/>
    <w:rsid w:val="00E43980"/>
    <w:rsid w:val="00E45310"/>
    <w:rsid w:val="00E469B7"/>
    <w:rsid w:val="00E508ED"/>
    <w:rsid w:val="00E51B50"/>
    <w:rsid w:val="00E5352D"/>
    <w:rsid w:val="00E53793"/>
    <w:rsid w:val="00E53FAE"/>
    <w:rsid w:val="00E54672"/>
    <w:rsid w:val="00E549F2"/>
    <w:rsid w:val="00E55736"/>
    <w:rsid w:val="00E5610E"/>
    <w:rsid w:val="00E563B4"/>
    <w:rsid w:val="00E60110"/>
    <w:rsid w:val="00E6235F"/>
    <w:rsid w:val="00E62E06"/>
    <w:rsid w:val="00E66516"/>
    <w:rsid w:val="00E667F8"/>
    <w:rsid w:val="00E669A0"/>
    <w:rsid w:val="00E66B6B"/>
    <w:rsid w:val="00E70214"/>
    <w:rsid w:val="00E716EF"/>
    <w:rsid w:val="00E72407"/>
    <w:rsid w:val="00E73693"/>
    <w:rsid w:val="00E739EB"/>
    <w:rsid w:val="00E750A9"/>
    <w:rsid w:val="00E82745"/>
    <w:rsid w:val="00E846FB"/>
    <w:rsid w:val="00E92B35"/>
    <w:rsid w:val="00E95015"/>
    <w:rsid w:val="00E96388"/>
    <w:rsid w:val="00E963C3"/>
    <w:rsid w:val="00E96AF5"/>
    <w:rsid w:val="00E96C23"/>
    <w:rsid w:val="00E97A9B"/>
    <w:rsid w:val="00EA4F63"/>
    <w:rsid w:val="00EA6FD4"/>
    <w:rsid w:val="00EA749D"/>
    <w:rsid w:val="00EB0B4E"/>
    <w:rsid w:val="00EB0DF8"/>
    <w:rsid w:val="00EB43DB"/>
    <w:rsid w:val="00EB4CFB"/>
    <w:rsid w:val="00EB6020"/>
    <w:rsid w:val="00EC0486"/>
    <w:rsid w:val="00EC186C"/>
    <w:rsid w:val="00EC2E02"/>
    <w:rsid w:val="00EC632B"/>
    <w:rsid w:val="00EC709C"/>
    <w:rsid w:val="00ED1178"/>
    <w:rsid w:val="00ED19BB"/>
    <w:rsid w:val="00ED1BDE"/>
    <w:rsid w:val="00ED4727"/>
    <w:rsid w:val="00ED50EB"/>
    <w:rsid w:val="00EE0410"/>
    <w:rsid w:val="00EE0708"/>
    <w:rsid w:val="00EE4672"/>
    <w:rsid w:val="00EE4F35"/>
    <w:rsid w:val="00EE607A"/>
    <w:rsid w:val="00EF01FE"/>
    <w:rsid w:val="00EF1E28"/>
    <w:rsid w:val="00EF1E82"/>
    <w:rsid w:val="00EF22A4"/>
    <w:rsid w:val="00EF3B35"/>
    <w:rsid w:val="00F014CB"/>
    <w:rsid w:val="00F021A8"/>
    <w:rsid w:val="00F05E81"/>
    <w:rsid w:val="00F07F32"/>
    <w:rsid w:val="00F13132"/>
    <w:rsid w:val="00F15DE8"/>
    <w:rsid w:val="00F16341"/>
    <w:rsid w:val="00F20347"/>
    <w:rsid w:val="00F21AB6"/>
    <w:rsid w:val="00F22C1A"/>
    <w:rsid w:val="00F24E41"/>
    <w:rsid w:val="00F25403"/>
    <w:rsid w:val="00F31047"/>
    <w:rsid w:val="00F31424"/>
    <w:rsid w:val="00F31A00"/>
    <w:rsid w:val="00F32975"/>
    <w:rsid w:val="00F35F66"/>
    <w:rsid w:val="00F37E0F"/>
    <w:rsid w:val="00F37EBF"/>
    <w:rsid w:val="00F41AC0"/>
    <w:rsid w:val="00F427AF"/>
    <w:rsid w:val="00F42F54"/>
    <w:rsid w:val="00F453D9"/>
    <w:rsid w:val="00F46D3F"/>
    <w:rsid w:val="00F47289"/>
    <w:rsid w:val="00F50654"/>
    <w:rsid w:val="00F50A13"/>
    <w:rsid w:val="00F511F7"/>
    <w:rsid w:val="00F519F6"/>
    <w:rsid w:val="00F5585E"/>
    <w:rsid w:val="00F56F6D"/>
    <w:rsid w:val="00F57A8A"/>
    <w:rsid w:val="00F60FBF"/>
    <w:rsid w:val="00F60FF6"/>
    <w:rsid w:val="00F61BCA"/>
    <w:rsid w:val="00F6369C"/>
    <w:rsid w:val="00F6528F"/>
    <w:rsid w:val="00F654B8"/>
    <w:rsid w:val="00F65A2B"/>
    <w:rsid w:val="00F65ACE"/>
    <w:rsid w:val="00F70981"/>
    <w:rsid w:val="00F70E53"/>
    <w:rsid w:val="00F71F6A"/>
    <w:rsid w:val="00F72FFA"/>
    <w:rsid w:val="00F73500"/>
    <w:rsid w:val="00F74065"/>
    <w:rsid w:val="00F753BB"/>
    <w:rsid w:val="00F75441"/>
    <w:rsid w:val="00F81DE8"/>
    <w:rsid w:val="00F85A15"/>
    <w:rsid w:val="00F85C70"/>
    <w:rsid w:val="00F91C8A"/>
    <w:rsid w:val="00F9239B"/>
    <w:rsid w:val="00F923ED"/>
    <w:rsid w:val="00F9334A"/>
    <w:rsid w:val="00F94180"/>
    <w:rsid w:val="00F94D01"/>
    <w:rsid w:val="00F95863"/>
    <w:rsid w:val="00F96687"/>
    <w:rsid w:val="00F96FF8"/>
    <w:rsid w:val="00FA0562"/>
    <w:rsid w:val="00FA121C"/>
    <w:rsid w:val="00FA2DC1"/>
    <w:rsid w:val="00FA41BE"/>
    <w:rsid w:val="00FA4360"/>
    <w:rsid w:val="00FA5ECC"/>
    <w:rsid w:val="00FA7AD9"/>
    <w:rsid w:val="00FA7BF7"/>
    <w:rsid w:val="00FB011B"/>
    <w:rsid w:val="00FB1542"/>
    <w:rsid w:val="00FB1962"/>
    <w:rsid w:val="00FB20F3"/>
    <w:rsid w:val="00FB41D6"/>
    <w:rsid w:val="00FB4663"/>
    <w:rsid w:val="00FB4893"/>
    <w:rsid w:val="00FB7822"/>
    <w:rsid w:val="00FC058E"/>
    <w:rsid w:val="00FC1307"/>
    <w:rsid w:val="00FC1EE3"/>
    <w:rsid w:val="00FC45D6"/>
    <w:rsid w:val="00FC4DCD"/>
    <w:rsid w:val="00FC5D23"/>
    <w:rsid w:val="00FD4C3E"/>
    <w:rsid w:val="00FD5238"/>
    <w:rsid w:val="00FD5F4D"/>
    <w:rsid w:val="00FE01A1"/>
    <w:rsid w:val="00FE0F75"/>
    <w:rsid w:val="00FE379C"/>
    <w:rsid w:val="00FE3EFB"/>
    <w:rsid w:val="00FE461B"/>
    <w:rsid w:val="00FF015B"/>
    <w:rsid w:val="00FF09C2"/>
    <w:rsid w:val="00FF20ED"/>
    <w:rsid w:val="00FF26ED"/>
    <w:rsid w:val="00FF3971"/>
    <w:rsid w:val="00FF46BF"/>
    <w:rsid w:val="00FF644C"/>
    <w:rsid w:val="00FF6F8F"/>
    <w:rsid w:val="00FF7646"/>
    <w:rsid w:val="00FF79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Cell bullets,Text,123 List Paragraph,List Paragraph1,Recommendation,List Paragraph11,List Paragraph111,L,F5 List Paragraph,Dot pt,CV text,Table text,Medium Grid 1 - Accent 21,列出段落"/>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basedOn w:val="DefaultParagraphFont"/>
    <w:uiPriority w:val="99"/>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fn"/>
    <w:basedOn w:val="Normal"/>
    <w:link w:val="FootnoteTextChar"/>
    <w:uiPriority w:val="99"/>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uiPriority w:val="99"/>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uiPriority w:val="99"/>
    <w:semiHidden/>
    <w:rsid w:val="00A277A6"/>
    <w:rPr>
      <w:sz w:val="16"/>
      <w:szCs w:val="16"/>
    </w:rPr>
  </w:style>
  <w:style w:type="paragraph" w:styleId="CommentText">
    <w:name w:val="annotation text"/>
    <w:basedOn w:val="Normal"/>
    <w:link w:val="CommentTextChar"/>
    <w:uiPriority w:val="99"/>
    <w:semiHidden/>
    <w:rsid w:val="00A277A6"/>
    <w:rPr>
      <w:sz w:val="20"/>
      <w:szCs w:val="20"/>
    </w:rPr>
  </w:style>
  <w:style w:type="character" w:customStyle="1" w:styleId="CommentTextChar">
    <w:name w:val="Comment Text Char"/>
    <w:basedOn w:val="DefaultParagraphFont"/>
    <w:link w:val="CommentText"/>
    <w:uiPriority w:val="99"/>
    <w:semiHidden/>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iPriority w:val="99"/>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Cell bullets Char,Text Char,123 List Paragraph Char,List Paragraph1 Char,Recommendation Char,List Paragraph11 Char,List Paragraph111 Char,L Char"/>
    <w:basedOn w:val="DefaultParagraphFont"/>
    <w:link w:val="ListParagraph"/>
    <w:uiPriority w:val="34"/>
    <w:qFormat/>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06698B"/>
    <w:pPr>
      <w:tabs>
        <w:tab w:val="center" w:pos="4513"/>
        <w:tab w:val="right" w:pos="9026"/>
      </w:tabs>
    </w:pPr>
  </w:style>
  <w:style w:type="character" w:customStyle="1" w:styleId="HeaderChar">
    <w:name w:val="Header Char"/>
    <w:basedOn w:val="DefaultParagraphFont"/>
    <w:link w:val="Header"/>
    <w:uiPriority w:val="99"/>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paragraph" w:customStyle="1" w:styleId="ContentinTable">
    <w:name w:val="Content in Table"/>
    <w:basedOn w:val="Normal"/>
    <w:uiPriority w:val="99"/>
    <w:qFormat/>
    <w:rsid w:val="00F453D9"/>
    <w:pPr>
      <w:autoSpaceDE w:val="0"/>
      <w:autoSpaceDN w:val="0"/>
      <w:adjustRightInd w:val="0"/>
      <w:spacing w:before="120" w:after="240" w:line="276" w:lineRule="auto"/>
      <w:ind w:right="57"/>
      <w:jc w:val="both"/>
    </w:pPr>
    <w:rPr>
      <w:rFonts w:eastAsia="Calibri"/>
      <w:sz w:val="28"/>
      <w:lang w:val="en-SG"/>
    </w:rPr>
  </w:style>
  <w:style w:type="character" w:customStyle="1" w:styleId="s11">
    <w:name w:val="s11"/>
    <w:basedOn w:val="DefaultParagraphFont"/>
    <w:rsid w:val="00B10C9B"/>
  </w:style>
  <w:style w:type="paragraph" w:customStyle="1" w:styleId="Am1SectionText1">
    <w:name w:val="Am1SectionText(1)"/>
    <w:basedOn w:val="Normal"/>
    <w:rsid w:val="00AF7CB4"/>
    <w:pPr>
      <w:spacing w:before="120"/>
      <w:ind w:left="475" w:firstLine="144"/>
      <w:jc w:val="both"/>
    </w:pPr>
    <w:rPr>
      <w:sz w:val="26"/>
      <w:szCs w:val="20"/>
      <w:lang w:val="en-GB"/>
    </w:rPr>
  </w:style>
  <w:style w:type="paragraph" w:customStyle="1" w:styleId="Am1SectionTexta">
    <w:name w:val="Am1SectionText(a)"/>
    <w:basedOn w:val="Normal"/>
    <w:rsid w:val="00AF7CB4"/>
    <w:pPr>
      <w:tabs>
        <w:tab w:val="right" w:pos="1080"/>
      </w:tabs>
      <w:spacing w:before="120"/>
      <w:ind w:left="1425" w:hanging="1065"/>
      <w:jc w:val="both"/>
    </w:pPr>
    <w:rPr>
      <w:sz w:val="26"/>
      <w:szCs w:val="20"/>
      <w:lang w:val="en-GB"/>
    </w:rPr>
  </w:style>
  <w:style w:type="paragraph" w:customStyle="1" w:styleId="ClientNotes">
    <w:name w:val="ClientNotes"/>
    <w:qFormat/>
    <w:rsid w:val="00AF7CB4"/>
    <w:pPr>
      <w:adjustRightInd w:val="0"/>
      <w:spacing w:after="120"/>
    </w:pPr>
    <w:rPr>
      <w:rFonts w:ascii="Arial" w:eastAsia="MS Mincho" w:hAnsi="Arial"/>
      <w:i/>
      <w:color w:val="008000"/>
      <w:lang w:val="en-GB" w:eastAsia="ja-JP" w:bidi="ta-IN"/>
    </w:rPr>
  </w:style>
  <w:style w:type="paragraph" w:customStyle="1" w:styleId="Am1SectionSubHeading">
    <w:name w:val="Am1SectionSubHeading"/>
    <w:basedOn w:val="Normal"/>
    <w:qFormat/>
    <w:rsid w:val="003E5AEB"/>
    <w:pPr>
      <w:keepNext/>
      <w:keepLines/>
      <w:spacing w:before="240"/>
      <w:ind w:left="475"/>
    </w:pPr>
    <w:rPr>
      <w:b/>
      <w:sz w:val="2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Cell bullets,Text,123 List Paragraph,List Paragraph1,Recommendation,List Paragraph11,List Paragraph111,L,F5 List Paragraph,Dot pt,CV text,Table text,Medium Grid 1 - Accent 21,列出段落"/>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basedOn w:val="DefaultParagraphFont"/>
    <w:uiPriority w:val="99"/>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fn"/>
    <w:basedOn w:val="Normal"/>
    <w:link w:val="FootnoteTextChar"/>
    <w:uiPriority w:val="99"/>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uiPriority w:val="99"/>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uiPriority w:val="99"/>
    <w:semiHidden/>
    <w:rsid w:val="00A277A6"/>
    <w:rPr>
      <w:sz w:val="16"/>
      <w:szCs w:val="16"/>
    </w:rPr>
  </w:style>
  <w:style w:type="paragraph" w:styleId="CommentText">
    <w:name w:val="annotation text"/>
    <w:basedOn w:val="Normal"/>
    <w:link w:val="CommentTextChar"/>
    <w:uiPriority w:val="99"/>
    <w:semiHidden/>
    <w:rsid w:val="00A277A6"/>
    <w:rPr>
      <w:sz w:val="20"/>
      <w:szCs w:val="20"/>
    </w:rPr>
  </w:style>
  <w:style w:type="character" w:customStyle="1" w:styleId="CommentTextChar">
    <w:name w:val="Comment Text Char"/>
    <w:basedOn w:val="DefaultParagraphFont"/>
    <w:link w:val="CommentText"/>
    <w:uiPriority w:val="99"/>
    <w:semiHidden/>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iPriority w:val="99"/>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Cell bullets Char,Text Char,123 List Paragraph Char,List Paragraph1 Char,Recommendation Char,List Paragraph11 Char,List Paragraph111 Char,L Char"/>
    <w:basedOn w:val="DefaultParagraphFont"/>
    <w:link w:val="ListParagraph"/>
    <w:uiPriority w:val="34"/>
    <w:qFormat/>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06698B"/>
    <w:pPr>
      <w:tabs>
        <w:tab w:val="center" w:pos="4513"/>
        <w:tab w:val="right" w:pos="9026"/>
      </w:tabs>
    </w:pPr>
  </w:style>
  <w:style w:type="character" w:customStyle="1" w:styleId="HeaderChar">
    <w:name w:val="Header Char"/>
    <w:basedOn w:val="DefaultParagraphFont"/>
    <w:link w:val="Header"/>
    <w:uiPriority w:val="99"/>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paragraph" w:customStyle="1" w:styleId="ContentinTable">
    <w:name w:val="Content in Table"/>
    <w:basedOn w:val="Normal"/>
    <w:uiPriority w:val="99"/>
    <w:qFormat/>
    <w:rsid w:val="00F453D9"/>
    <w:pPr>
      <w:autoSpaceDE w:val="0"/>
      <w:autoSpaceDN w:val="0"/>
      <w:adjustRightInd w:val="0"/>
      <w:spacing w:before="120" w:after="240" w:line="276" w:lineRule="auto"/>
      <w:ind w:right="57"/>
      <w:jc w:val="both"/>
    </w:pPr>
    <w:rPr>
      <w:rFonts w:eastAsia="Calibri"/>
      <w:sz w:val="28"/>
      <w:lang w:val="en-SG"/>
    </w:rPr>
  </w:style>
  <w:style w:type="character" w:customStyle="1" w:styleId="s11">
    <w:name w:val="s11"/>
    <w:basedOn w:val="DefaultParagraphFont"/>
    <w:rsid w:val="00B10C9B"/>
  </w:style>
  <w:style w:type="paragraph" w:customStyle="1" w:styleId="Am1SectionText1">
    <w:name w:val="Am1SectionText(1)"/>
    <w:basedOn w:val="Normal"/>
    <w:rsid w:val="00AF7CB4"/>
    <w:pPr>
      <w:spacing w:before="120"/>
      <w:ind w:left="475" w:firstLine="144"/>
      <w:jc w:val="both"/>
    </w:pPr>
    <w:rPr>
      <w:sz w:val="26"/>
      <w:szCs w:val="20"/>
      <w:lang w:val="en-GB"/>
    </w:rPr>
  </w:style>
  <w:style w:type="paragraph" w:customStyle="1" w:styleId="Am1SectionTexta">
    <w:name w:val="Am1SectionText(a)"/>
    <w:basedOn w:val="Normal"/>
    <w:rsid w:val="00AF7CB4"/>
    <w:pPr>
      <w:tabs>
        <w:tab w:val="right" w:pos="1080"/>
      </w:tabs>
      <w:spacing w:before="120"/>
      <w:ind w:left="1425" w:hanging="1065"/>
      <w:jc w:val="both"/>
    </w:pPr>
    <w:rPr>
      <w:sz w:val="26"/>
      <w:szCs w:val="20"/>
      <w:lang w:val="en-GB"/>
    </w:rPr>
  </w:style>
  <w:style w:type="paragraph" w:customStyle="1" w:styleId="ClientNotes">
    <w:name w:val="ClientNotes"/>
    <w:qFormat/>
    <w:rsid w:val="00AF7CB4"/>
    <w:pPr>
      <w:adjustRightInd w:val="0"/>
      <w:spacing w:after="120"/>
    </w:pPr>
    <w:rPr>
      <w:rFonts w:ascii="Arial" w:eastAsia="MS Mincho" w:hAnsi="Arial"/>
      <w:i/>
      <w:color w:val="008000"/>
      <w:lang w:val="en-GB" w:eastAsia="ja-JP" w:bidi="ta-IN"/>
    </w:rPr>
  </w:style>
  <w:style w:type="paragraph" w:customStyle="1" w:styleId="Am1SectionSubHeading">
    <w:name w:val="Am1SectionSubHeading"/>
    <w:basedOn w:val="Normal"/>
    <w:qFormat/>
    <w:rsid w:val="003E5AEB"/>
    <w:pPr>
      <w:keepNext/>
      <w:keepLines/>
      <w:spacing w:before="240"/>
      <w:ind w:left="475"/>
    </w:pPr>
    <w:rPr>
      <w:b/>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4750">
      <w:bodyDiv w:val="1"/>
      <w:marLeft w:val="0"/>
      <w:marRight w:val="0"/>
      <w:marTop w:val="0"/>
      <w:marBottom w:val="0"/>
      <w:divBdr>
        <w:top w:val="none" w:sz="0" w:space="0" w:color="auto"/>
        <w:left w:val="none" w:sz="0" w:space="0" w:color="auto"/>
        <w:bottom w:val="none" w:sz="0" w:space="0" w:color="auto"/>
        <w:right w:val="none" w:sz="0" w:space="0" w:color="auto"/>
      </w:divBdr>
    </w:div>
    <w:div w:id="264312599">
      <w:bodyDiv w:val="1"/>
      <w:marLeft w:val="0"/>
      <w:marRight w:val="0"/>
      <w:marTop w:val="0"/>
      <w:marBottom w:val="0"/>
      <w:divBdr>
        <w:top w:val="none" w:sz="0" w:space="0" w:color="auto"/>
        <w:left w:val="none" w:sz="0" w:space="0" w:color="auto"/>
        <w:bottom w:val="none" w:sz="0" w:space="0" w:color="auto"/>
        <w:right w:val="none" w:sz="0" w:space="0" w:color="auto"/>
      </w:divBdr>
    </w:div>
    <w:div w:id="334503001">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sChild>
        <w:div w:id="144511178">
          <w:marLeft w:val="0"/>
          <w:marRight w:val="0"/>
          <w:marTop w:val="0"/>
          <w:marBottom w:val="0"/>
          <w:divBdr>
            <w:top w:val="none" w:sz="0" w:space="0" w:color="auto"/>
            <w:left w:val="none" w:sz="0" w:space="0" w:color="auto"/>
            <w:bottom w:val="none" w:sz="0" w:space="0" w:color="auto"/>
            <w:right w:val="none" w:sz="0" w:space="0" w:color="auto"/>
          </w:divBdr>
          <w:divsChild>
            <w:div w:id="3840554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94095318">
      <w:bodyDiv w:val="1"/>
      <w:marLeft w:val="0"/>
      <w:marRight w:val="0"/>
      <w:marTop w:val="0"/>
      <w:marBottom w:val="0"/>
      <w:divBdr>
        <w:top w:val="none" w:sz="0" w:space="0" w:color="auto"/>
        <w:left w:val="none" w:sz="0" w:space="0" w:color="auto"/>
        <w:bottom w:val="none" w:sz="0" w:space="0" w:color="auto"/>
        <w:right w:val="none" w:sz="0" w:space="0" w:color="auto"/>
      </w:divBdr>
    </w:div>
    <w:div w:id="823811632">
      <w:bodyDiv w:val="1"/>
      <w:marLeft w:val="0"/>
      <w:marRight w:val="0"/>
      <w:marTop w:val="0"/>
      <w:marBottom w:val="0"/>
      <w:divBdr>
        <w:top w:val="none" w:sz="0" w:space="0" w:color="auto"/>
        <w:left w:val="none" w:sz="0" w:space="0" w:color="auto"/>
        <w:bottom w:val="none" w:sz="0" w:space="0" w:color="auto"/>
        <w:right w:val="none" w:sz="0" w:space="0" w:color="auto"/>
      </w:divBdr>
    </w:div>
    <w:div w:id="921571491">
      <w:bodyDiv w:val="1"/>
      <w:marLeft w:val="0"/>
      <w:marRight w:val="0"/>
      <w:marTop w:val="0"/>
      <w:marBottom w:val="0"/>
      <w:divBdr>
        <w:top w:val="none" w:sz="0" w:space="0" w:color="auto"/>
        <w:left w:val="none" w:sz="0" w:space="0" w:color="auto"/>
        <w:bottom w:val="none" w:sz="0" w:space="0" w:color="auto"/>
        <w:right w:val="none" w:sz="0" w:space="0" w:color="auto"/>
      </w:divBdr>
    </w:div>
    <w:div w:id="1139804972">
      <w:bodyDiv w:val="1"/>
      <w:marLeft w:val="0"/>
      <w:marRight w:val="0"/>
      <w:marTop w:val="0"/>
      <w:marBottom w:val="0"/>
      <w:divBdr>
        <w:top w:val="none" w:sz="0" w:space="0" w:color="auto"/>
        <w:left w:val="none" w:sz="0" w:space="0" w:color="auto"/>
        <w:bottom w:val="none" w:sz="0" w:space="0" w:color="auto"/>
        <w:right w:val="none" w:sz="0" w:space="0" w:color="auto"/>
      </w:divBdr>
    </w:div>
    <w:div w:id="1306471806">
      <w:bodyDiv w:val="1"/>
      <w:marLeft w:val="0"/>
      <w:marRight w:val="0"/>
      <w:marTop w:val="0"/>
      <w:marBottom w:val="0"/>
      <w:divBdr>
        <w:top w:val="none" w:sz="0" w:space="0" w:color="auto"/>
        <w:left w:val="none" w:sz="0" w:space="0" w:color="auto"/>
        <w:bottom w:val="none" w:sz="0" w:space="0" w:color="auto"/>
        <w:right w:val="none" w:sz="0" w:space="0" w:color="auto"/>
      </w:divBdr>
    </w:div>
    <w:div w:id="1408068584">
      <w:bodyDiv w:val="1"/>
      <w:marLeft w:val="0"/>
      <w:marRight w:val="0"/>
      <w:marTop w:val="0"/>
      <w:marBottom w:val="0"/>
      <w:divBdr>
        <w:top w:val="none" w:sz="0" w:space="0" w:color="auto"/>
        <w:left w:val="none" w:sz="0" w:space="0" w:color="auto"/>
        <w:bottom w:val="none" w:sz="0" w:space="0" w:color="auto"/>
        <w:right w:val="none" w:sz="0" w:space="0" w:color="auto"/>
      </w:divBdr>
    </w:div>
    <w:div w:id="1621381346">
      <w:bodyDiv w:val="1"/>
      <w:marLeft w:val="0"/>
      <w:marRight w:val="0"/>
      <w:marTop w:val="0"/>
      <w:marBottom w:val="0"/>
      <w:divBdr>
        <w:top w:val="none" w:sz="0" w:space="0" w:color="auto"/>
        <w:left w:val="none" w:sz="0" w:space="0" w:color="auto"/>
        <w:bottom w:val="none" w:sz="0" w:space="0" w:color="auto"/>
        <w:right w:val="none" w:sz="0" w:space="0" w:color="auto"/>
      </w:divBdr>
    </w:div>
    <w:div w:id="1662466150">
      <w:bodyDiv w:val="1"/>
      <w:marLeft w:val="0"/>
      <w:marRight w:val="0"/>
      <w:marTop w:val="0"/>
      <w:marBottom w:val="0"/>
      <w:divBdr>
        <w:top w:val="none" w:sz="0" w:space="0" w:color="auto"/>
        <w:left w:val="none" w:sz="0" w:space="0" w:color="auto"/>
        <w:bottom w:val="none" w:sz="0" w:space="0" w:color="auto"/>
        <w:right w:val="none" w:sz="0" w:space="0" w:color="auto"/>
      </w:divBdr>
    </w:div>
    <w:div w:id="1699617517">
      <w:bodyDiv w:val="1"/>
      <w:marLeft w:val="0"/>
      <w:marRight w:val="0"/>
      <w:marTop w:val="0"/>
      <w:marBottom w:val="0"/>
      <w:divBdr>
        <w:top w:val="none" w:sz="0" w:space="0" w:color="auto"/>
        <w:left w:val="none" w:sz="0" w:space="0" w:color="auto"/>
        <w:bottom w:val="none" w:sz="0" w:space="0" w:color="auto"/>
        <w:right w:val="none" w:sz="0" w:space="0" w:color="auto"/>
      </w:divBdr>
    </w:div>
    <w:div w:id="1812288720">
      <w:bodyDiv w:val="1"/>
      <w:marLeft w:val="0"/>
      <w:marRight w:val="0"/>
      <w:marTop w:val="0"/>
      <w:marBottom w:val="0"/>
      <w:divBdr>
        <w:top w:val="none" w:sz="0" w:space="0" w:color="auto"/>
        <w:left w:val="none" w:sz="0" w:space="0" w:color="auto"/>
        <w:bottom w:val="none" w:sz="0" w:space="0" w:color="auto"/>
        <w:right w:val="none" w:sz="0" w:space="0" w:color="auto"/>
      </w:divBdr>
    </w:div>
    <w:div w:id="2138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0" ma:contentTypeDescription="Create a new document." ma:contentTypeScope="" ma:versionID="588dfc757ca5a2faf90e701da2391a5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32D8-7B07-4713-A80B-5A30C4E9B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8614FD-4BD7-46E9-AF9F-8F330D6EEC37}">
  <ds:schemaRefs>
    <ds:schemaRef ds:uri="http://schemas.microsoft.com/office/2006/metadata/properties"/>
  </ds:schemaRefs>
</ds:datastoreItem>
</file>

<file path=customXml/itemProps3.xml><?xml version="1.0" encoding="utf-8"?>
<ds:datastoreItem xmlns:ds="http://schemas.openxmlformats.org/officeDocument/2006/customXml" ds:itemID="{5EECF40A-BFDB-417E-B8A3-7F3F3409F7C6}">
  <ds:schemaRefs>
    <ds:schemaRef ds:uri="http://schemas.microsoft.com/sharepoint/v3/contenttype/forms"/>
  </ds:schemaRefs>
</ds:datastoreItem>
</file>

<file path=customXml/itemProps4.xml><?xml version="1.0" encoding="utf-8"?>
<ds:datastoreItem xmlns:ds="http://schemas.openxmlformats.org/officeDocument/2006/customXml" ds:itemID="{D0838927-4A3B-4AE1-BB92-BB459B90C44B}">
  <ds:schemaRefs>
    <ds:schemaRef ds:uri="http://schemas.openxmlformats.org/officeDocument/2006/bibliography"/>
  </ds:schemaRefs>
</ds:datastoreItem>
</file>

<file path=customXml/itemProps5.xml><?xml version="1.0" encoding="utf-8"?>
<ds:datastoreItem xmlns:ds="http://schemas.openxmlformats.org/officeDocument/2006/customXml" ds:itemID="{229A41D9-B07E-4B0C-BE6F-D142A847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Ping TAN (MOF)</dc:creator>
  <cp:lastModifiedBy>CCD04</cp:lastModifiedBy>
  <cp:revision>1</cp:revision>
  <cp:lastPrinted>2019-03-04T01:12:00Z</cp:lastPrinted>
  <dcterms:created xsi:type="dcterms:W3CDTF">2019-03-06T06:12:00Z</dcterms:created>
  <dcterms:modified xsi:type="dcterms:W3CDTF">2019-03-06T06:12:00Z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0x01010007FDAFEC6B66164787F271A73119E70D</vt:lpwstr>
  </property>
</Properties>
</file>