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35474397"/>
        <w:docPartObj>
          <w:docPartGallery w:val="Cover Pages"/>
          <w:docPartUnique/>
        </w:docPartObj>
      </w:sdtPr>
      <w:sdtEndPr>
        <w:rPr>
          <w:rFonts w:ascii="Cambria" w:hAnsi="Cambria"/>
          <w:sz w:val="36"/>
          <w:szCs w:val="36"/>
        </w:rPr>
      </w:sdtEndPr>
      <w:sdtContent>
        <w:bookmarkStart w:id="0" w:name="_GoBack" w:displacedByCustomXml="prev"/>
        <w:p w14:paraId="40AB842F" w14:textId="73287C04" w:rsidR="00B26FDD" w:rsidRDefault="00062FCE" w:rsidP="00B26FDD">
          <w:pPr>
            <w:rPr>
              <w:rFonts w:eastAsiaTheme="minorEastAsia"/>
              <w:lang w:val="en-SG"/>
            </w:rPr>
          </w:pPr>
          <w:r w:rsidRPr="00062FCE">
            <w:drawing>
              <wp:inline distT="0" distB="0" distL="0" distR="0" wp14:anchorId="732A947E" wp14:editId="438FAD78">
                <wp:extent cx="5718810" cy="8863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8810" cy="8863330"/>
                        </a:xfrm>
                        <a:prstGeom prst="rect">
                          <a:avLst/>
                        </a:prstGeom>
                        <a:noFill/>
                        <a:ln>
                          <a:noFill/>
                        </a:ln>
                      </pic:spPr>
                    </pic:pic>
                  </a:graphicData>
                </a:graphic>
              </wp:inline>
            </w:drawing>
          </w:r>
          <w:bookmarkEnd w:id="0"/>
          <w:r w:rsidR="00B26FDD">
            <w:br w:type="page"/>
          </w:r>
        </w:p>
        <w:p w14:paraId="6A244E4E" w14:textId="0D9DF788" w:rsidR="00B26FDD" w:rsidRDefault="00B26FDD"/>
        <w:p w14:paraId="766D9B37" w14:textId="77777777" w:rsidR="008303DE" w:rsidRPr="00226741" w:rsidRDefault="008303DE" w:rsidP="008303DE">
          <w:pPr>
            <w:rPr>
              <w:rFonts w:eastAsia="SimSun" w:cstheme="minorHAnsi"/>
              <w:b/>
              <w:bCs/>
              <w:color w:val="365F91" w:themeColor="accent1" w:themeShade="BF"/>
              <w:sz w:val="32"/>
              <w:szCs w:val="32"/>
            </w:rPr>
          </w:pPr>
          <w:r w:rsidRPr="00226741">
            <w:rPr>
              <w:rFonts w:eastAsia="SimSun" w:cstheme="minorHAnsi"/>
              <w:b/>
              <w:bCs/>
              <w:color w:val="365F91" w:themeColor="accent1" w:themeShade="BF"/>
              <w:sz w:val="32"/>
              <w:szCs w:val="32"/>
            </w:rPr>
            <w:t>Revision Log</w:t>
          </w:r>
        </w:p>
        <w:tbl>
          <w:tblPr>
            <w:tblStyle w:val="GridTable4-Accent51"/>
            <w:tblW w:w="0" w:type="auto"/>
            <w:tblLook w:val="04A0" w:firstRow="1" w:lastRow="0" w:firstColumn="1" w:lastColumn="0" w:noHBand="0" w:noVBand="1"/>
          </w:tblPr>
          <w:tblGrid>
            <w:gridCol w:w="2641"/>
            <w:gridCol w:w="3296"/>
            <w:gridCol w:w="3051"/>
          </w:tblGrid>
          <w:tr w:rsidR="008303DE" w:rsidRPr="00226741" w14:paraId="1B5B66EC" w14:textId="77777777" w:rsidTr="00C50C06">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641" w:type="dxa"/>
                <w:tcBorders>
                  <w:top w:val="none" w:sz="0" w:space="0" w:color="auto"/>
                  <w:left w:val="none" w:sz="0" w:space="0" w:color="auto"/>
                  <w:bottom w:val="none" w:sz="0" w:space="0" w:color="auto"/>
                  <w:right w:val="none" w:sz="0" w:space="0" w:color="auto"/>
                </w:tcBorders>
              </w:tcPr>
              <w:p w14:paraId="65E871FC" w14:textId="77777777" w:rsidR="008303DE" w:rsidRPr="00226741" w:rsidRDefault="008303DE" w:rsidP="00C50C06">
                <w:pPr>
                  <w:rPr>
                    <w:rFonts w:eastAsia="SimSun" w:cstheme="minorHAnsi"/>
                    <w:sz w:val="18"/>
                    <w:szCs w:val="18"/>
                  </w:rPr>
                </w:pPr>
                <w:r w:rsidRPr="00226741">
                  <w:rPr>
                    <w:rFonts w:eastAsia="SimSun" w:cstheme="minorHAnsi"/>
                    <w:sz w:val="18"/>
                    <w:szCs w:val="18"/>
                  </w:rPr>
                  <w:t>Revision</w:t>
                </w:r>
              </w:p>
            </w:tc>
            <w:tc>
              <w:tcPr>
                <w:tcW w:w="3296" w:type="dxa"/>
                <w:tcBorders>
                  <w:top w:val="none" w:sz="0" w:space="0" w:color="auto"/>
                  <w:left w:val="none" w:sz="0" w:space="0" w:color="auto"/>
                  <w:bottom w:val="none" w:sz="0" w:space="0" w:color="auto"/>
                  <w:right w:val="none" w:sz="0" w:space="0" w:color="auto"/>
                </w:tcBorders>
              </w:tcPr>
              <w:p w14:paraId="2169B314" w14:textId="77777777" w:rsidR="008303DE" w:rsidRPr="00226741" w:rsidRDefault="008303DE" w:rsidP="00C50C06">
                <w:pP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26741">
                  <w:rPr>
                    <w:rFonts w:eastAsia="SimSun" w:cstheme="minorHAnsi"/>
                    <w:sz w:val="18"/>
                    <w:szCs w:val="18"/>
                  </w:rPr>
                  <w:t>Description</w:t>
                </w:r>
              </w:p>
            </w:tc>
            <w:tc>
              <w:tcPr>
                <w:tcW w:w="3051" w:type="dxa"/>
                <w:tcBorders>
                  <w:top w:val="none" w:sz="0" w:space="0" w:color="auto"/>
                  <w:left w:val="none" w:sz="0" w:space="0" w:color="auto"/>
                  <w:bottom w:val="none" w:sz="0" w:space="0" w:color="auto"/>
                  <w:right w:val="none" w:sz="0" w:space="0" w:color="auto"/>
                </w:tcBorders>
              </w:tcPr>
              <w:p w14:paraId="6F07DAA2" w14:textId="77777777" w:rsidR="008303DE" w:rsidRPr="00226741" w:rsidRDefault="008303DE" w:rsidP="00C50C06">
                <w:pP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26741">
                  <w:rPr>
                    <w:rFonts w:eastAsia="SimSun" w:cstheme="minorHAnsi"/>
                    <w:sz w:val="18"/>
                    <w:szCs w:val="18"/>
                  </w:rPr>
                  <w:t>Effective Date</w:t>
                </w:r>
              </w:p>
            </w:tc>
          </w:tr>
          <w:tr w:rsidR="008303DE" w:rsidRPr="00226741" w14:paraId="7BB77E08" w14:textId="77777777" w:rsidTr="00CE7D69">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2641" w:type="dxa"/>
              </w:tcPr>
              <w:p w14:paraId="1C883F22" w14:textId="77777777" w:rsidR="008303DE" w:rsidRPr="00226741" w:rsidRDefault="008303DE" w:rsidP="00C50C06">
                <w:pPr>
                  <w:rPr>
                    <w:rFonts w:eastAsia="SimSun" w:cstheme="minorHAnsi"/>
                    <w:color w:val="444745"/>
                    <w:sz w:val="18"/>
                    <w:szCs w:val="18"/>
                  </w:rPr>
                </w:pPr>
                <w:r w:rsidRPr="00226741">
                  <w:rPr>
                    <w:rFonts w:eastAsia="SimSun" w:cstheme="minorHAnsi"/>
                    <w:color w:val="444745"/>
                    <w:sz w:val="18"/>
                    <w:szCs w:val="18"/>
                  </w:rPr>
                  <w:t>R1</w:t>
                </w:r>
              </w:p>
            </w:tc>
            <w:tc>
              <w:tcPr>
                <w:tcW w:w="3296" w:type="dxa"/>
              </w:tcPr>
              <w:p w14:paraId="334596FB" w14:textId="0C281A4A" w:rsidR="008303DE" w:rsidRDefault="008303DE" w:rsidP="00C50C06">
                <w:pPr>
                  <w:cnfStyle w:val="000000100000" w:firstRow="0" w:lastRow="0" w:firstColumn="0" w:lastColumn="0" w:oddVBand="0" w:evenVBand="0" w:oddHBand="1" w:evenHBand="0" w:firstRowFirstColumn="0" w:firstRowLastColumn="0" w:lastRowFirstColumn="0" w:lastRowLastColumn="0"/>
                  <w:rPr>
                    <w:rFonts w:eastAsia="SimSun" w:cstheme="minorHAnsi"/>
                    <w:color w:val="444745"/>
                    <w:sz w:val="18"/>
                    <w:szCs w:val="18"/>
                  </w:rPr>
                </w:pPr>
                <w:r w:rsidRPr="00226741">
                  <w:rPr>
                    <w:rFonts w:eastAsia="SimSun" w:cstheme="minorHAnsi"/>
                    <w:color w:val="444745"/>
                    <w:sz w:val="18"/>
                    <w:szCs w:val="18"/>
                  </w:rPr>
                  <w:t>1</w:t>
                </w:r>
                <w:r w:rsidRPr="00226741">
                  <w:rPr>
                    <w:rFonts w:eastAsia="SimSun" w:cstheme="minorHAnsi"/>
                    <w:color w:val="444745"/>
                    <w:sz w:val="18"/>
                    <w:szCs w:val="18"/>
                    <w:vertAlign w:val="superscript"/>
                  </w:rPr>
                  <w:t>st</w:t>
                </w:r>
                <w:r w:rsidRPr="00226741">
                  <w:rPr>
                    <w:rFonts w:eastAsia="SimSun" w:cstheme="minorHAnsi"/>
                    <w:color w:val="444745"/>
                    <w:sz w:val="18"/>
                    <w:szCs w:val="18"/>
                  </w:rPr>
                  <w:t xml:space="preserve"> Version</w:t>
                </w:r>
                <w:r w:rsidR="00CE7D69">
                  <w:rPr>
                    <w:rFonts w:eastAsia="SimSun" w:cstheme="minorHAnsi"/>
                    <w:color w:val="444745"/>
                    <w:sz w:val="18"/>
                    <w:szCs w:val="18"/>
                  </w:rPr>
                  <w:t>:</w:t>
                </w:r>
              </w:p>
              <w:p w14:paraId="31EAB533" w14:textId="036E0FE0" w:rsidR="00CE7D69" w:rsidRPr="00226741" w:rsidRDefault="00CE7D69" w:rsidP="00C50C06">
                <w:pPr>
                  <w:cnfStyle w:val="000000100000" w:firstRow="0" w:lastRow="0" w:firstColumn="0" w:lastColumn="0" w:oddVBand="0" w:evenVBand="0" w:oddHBand="1" w:evenHBand="0" w:firstRowFirstColumn="0" w:firstRowLastColumn="0" w:lastRowFirstColumn="0" w:lastRowLastColumn="0"/>
                  <w:rPr>
                    <w:rFonts w:eastAsia="SimSun" w:cstheme="minorHAnsi"/>
                    <w:color w:val="444745"/>
                    <w:sz w:val="18"/>
                    <w:szCs w:val="18"/>
                  </w:rPr>
                </w:pPr>
                <w:r>
                  <w:rPr>
                    <w:rFonts w:eastAsia="SimSun" w:cstheme="minorHAnsi"/>
                    <w:color w:val="444745"/>
                    <w:sz w:val="18"/>
                    <w:szCs w:val="18"/>
                  </w:rPr>
                  <w:t xml:space="preserve">released as 2 separate documents  </w:t>
                </w:r>
                <w:r>
                  <w:rPr>
                    <w:rFonts w:eastAsia="SimSun" w:cstheme="minorHAnsi"/>
                    <w:color w:val="444745"/>
                    <w:sz w:val="18"/>
                    <w:szCs w:val="18"/>
                  </w:rPr>
                  <w:br/>
                  <w:t>(1) Green Office Schedule and (2) Green Retail Schedule</w:t>
                </w:r>
              </w:p>
            </w:tc>
            <w:tc>
              <w:tcPr>
                <w:tcW w:w="3051" w:type="dxa"/>
              </w:tcPr>
              <w:p w14:paraId="143621B3" w14:textId="328AF524" w:rsidR="008303DE" w:rsidRPr="00226741" w:rsidRDefault="000727D5" w:rsidP="00C50C06">
                <w:pPr>
                  <w:cnfStyle w:val="000000100000" w:firstRow="0" w:lastRow="0" w:firstColumn="0" w:lastColumn="0" w:oddVBand="0" w:evenVBand="0" w:oddHBand="1" w:evenHBand="0" w:firstRowFirstColumn="0" w:firstRowLastColumn="0" w:lastRowFirstColumn="0" w:lastRowLastColumn="0"/>
                  <w:rPr>
                    <w:rFonts w:eastAsia="SimSun" w:cstheme="minorHAnsi"/>
                    <w:color w:val="444745"/>
                    <w:sz w:val="18"/>
                    <w:szCs w:val="18"/>
                  </w:rPr>
                </w:pPr>
                <w:r>
                  <w:rPr>
                    <w:rFonts w:eastAsia="SimSun" w:cstheme="minorHAnsi"/>
                    <w:color w:val="444745"/>
                    <w:sz w:val="18"/>
                    <w:szCs w:val="18"/>
                  </w:rPr>
                  <w:t xml:space="preserve">2014 </w:t>
                </w:r>
              </w:p>
            </w:tc>
          </w:tr>
          <w:tr w:rsidR="000727D5" w:rsidRPr="00226741" w14:paraId="1AC86F36" w14:textId="77777777" w:rsidTr="00C50C06">
            <w:trPr>
              <w:trHeight w:val="348"/>
            </w:trPr>
            <w:tc>
              <w:tcPr>
                <w:cnfStyle w:val="001000000000" w:firstRow="0" w:lastRow="0" w:firstColumn="1" w:lastColumn="0" w:oddVBand="0" w:evenVBand="0" w:oddHBand="0" w:evenHBand="0" w:firstRowFirstColumn="0" w:firstRowLastColumn="0" w:lastRowFirstColumn="0" w:lastRowLastColumn="0"/>
                <w:tcW w:w="2641" w:type="dxa"/>
              </w:tcPr>
              <w:p w14:paraId="6B4BE142" w14:textId="5B48C26C" w:rsidR="000727D5" w:rsidRPr="00226741" w:rsidRDefault="000727D5" w:rsidP="00C50C06">
                <w:pPr>
                  <w:rPr>
                    <w:rFonts w:eastAsia="SimSun" w:cstheme="minorHAnsi"/>
                    <w:color w:val="444745"/>
                    <w:sz w:val="18"/>
                    <w:szCs w:val="18"/>
                  </w:rPr>
                </w:pPr>
                <w:r>
                  <w:rPr>
                    <w:rFonts w:eastAsia="SimSun" w:cstheme="minorHAnsi"/>
                    <w:color w:val="444745"/>
                    <w:sz w:val="18"/>
                    <w:szCs w:val="18"/>
                  </w:rPr>
                  <w:t>R2</w:t>
                </w:r>
              </w:p>
            </w:tc>
            <w:tc>
              <w:tcPr>
                <w:tcW w:w="3296" w:type="dxa"/>
              </w:tcPr>
              <w:p w14:paraId="054FDF48" w14:textId="77777777" w:rsidR="000727D5" w:rsidRDefault="000727D5" w:rsidP="00C50C06">
                <w:pPr>
                  <w:cnfStyle w:val="000000000000" w:firstRow="0" w:lastRow="0" w:firstColumn="0" w:lastColumn="0" w:oddVBand="0" w:evenVBand="0" w:oddHBand="0" w:evenHBand="0" w:firstRowFirstColumn="0" w:firstRowLastColumn="0" w:lastRowFirstColumn="0" w:lastRowLastColumn="0"/>
                  <w:rPr>
                    <w:rFonts w:eastAsia="SimSun" w:cstheme="minorHAnsi"/>
                    <w:color w:val="444745"/>
                    <w:sz w:val="18"/>
                    <w:szCs w:val="18"/>
                  </w:rPr>
                </w:pPr>
                <w:r>
                  <w:rPr>
                    <w:rFonts w:eastAsia="SimSun" w:cstheme="minorHAnsi"/>
                    <w:color w:val="444745"/>
                    <w:sz w:val="18"/>
                    <w:szCs w:val="18"/>
                  </w:rPr>
                  <w:t>2</w:t>
                </w:r>
                <w:r w:rsidRPr="000727D5">
                  <w:rPr>
                    <w:rFonts w:eastAsia="SimSun" w:cstheme="minorHAnsi"/>
                    <w:color w:val="444745"/>
                    <w:sz w:val="18"/>
                    <w:szCs w:val="18"/>
                    <w:vertAlign w:val="superscript"/>
                  </w:rPr>
                  <w:t>nd</w:t>
                </w:r>
                <w:r>
                  <w:rPr>
                    <w:rFonts w:eastAsia="SimSun" w:cstheme="minorHAnsi"/>
                    <w:color w:val="444745"/>
                    <w:sz w:val="18"/>
                    <w:szCs w:val="18"/>
                  </w:rPr>
                  <w:t xml:space="preserve"> Version</w:t>
                </w:r>
              </w:p>
              <w:p w14:paraId="59E9600A" w14:textId="77777777" w:rsidR="00CE7D69" w:rsidRDefault="00CE7D69" w:rsidP="00C50C06">
                <w:pPr>
                  <w:cnfStyle w:val="000000000000" w:firstRow="0" w:lastRow="0" w:firstColumn="0" w:lastColumn="0" w:oddVBand="0" w:evenVBand="0" w:oddHBand="0" w:evenHBand="0" w:firstRowFirstColumn="0" w:firstRowLastColumn="0" w:lastRowFirstColumn="0" w:lastRowLastColumn="0"/>
                  <w:rPr>
                    <w:rFonts w:eastAsia="SimSun" w:cstheme="minorHAnsi"/>
                    <w:color w:val="444745"/>
                    <w:sz w:val="18"/>
                    <w:szCs w:val="18"/>
                  </w:rPr>
                </w:pPr>
                <w:r>
                  <w:rPr>
                    <w:rFonts w:eastAsia="SimSun" w:cstheme="minorHAnsi"/>
                    <w:color w:val="444745"/>
                    <w:sz w:val="18"/>
                    <w:szCs w:val="18"/>
                  </w:rPr>
                  <w:t>Updated and aligned with GM 2021</w:t>
                </w:r>
              </w:p>
              <w:p w14:paraId="590D8FB8" w14:textId="76690939" w:rsidR="00CE7D69" w:rsidRPr="00226741" w:rsidRDefault="00CE7D69" w:rsidP="00C50C06">
                <w:pPr>
                  <w:cnfStyle w:val="000000000000" w:firstRow="0" w:lastRow="0" w:firstColumn="0" w:lastColumn="0" w:oddVBand="0" w:evenVBand="0" w:oddHBand="0" w:evenHBand="0" w:firstRowFirstColumn="0" w:firstRowLastColumn="0" w:lastRowFirstColumn="0" w:lastRowLastColumn="0"/>
                  <w:rPr>
                    <w:rFonts w:eastAsia="SimSun" w:cstheme="minorHAnsi"/>
                    <w:color w:val="444745"/>
                    <w:sz w:val="18"/>
                    <w:szCs w:val="18"/>
                  </w:rPr>
                </w:pPr>
                <w:r>
                  <w:rPr>
                    <w:rFonts w:eastAsia="SimSun" w:cstheme="minorHAnsi"/>
                    <w:color w:val="444745"/>
                    <w:sz w:val="18"/>
                    <w:szCs w:val="18"/>
                  </w:rPr>
                  <w:t>Combined into a single schedule applicable for all non-residential building typologies</w:t>
                </w:r>
              </w:p>
            </w:tc>
            <w:tc>
              <w:tcPr>
                <w:tcW w:w="3051" w:type="dxa"/>
              </w:tcPr>
              <w:p w14:paraId="784F71AA" w14:textId="77777777" w:rsidR="000727D5" w:rsidRPr="00226741" w:rsidRDefault="000727D5" w:rsidP="00C50C06">
                <w:pPr>
                  <w:cnfStyle w:val="000000000000" w:firstRow="0" w:lastRow="0" w:firstColumn="0" w:lastColumn="0" w:oddVBand="0" w:evenVBand="0" w:oddHBand="0" w:evenHBand="0" w:firstRowFirstColumn="0" w:firstRowLastColumn="0" w:lastRowFirstColumn="0" w:lastRowLastColumn="0"/>
                  <w:rPr>
                    <w:rFonts w:eastAsia="SimSun" w:cstheme="minorHAnsi"/>
                    <w:color w:val="444745"/>
                    <w:sz w:val="18"/>
                    <w:szCs w:val="18"/>
                  </w:rPr>
                </w:pPr>
              </w:p>
            </w:tc>
          </w:tr>
        </w:tbl>
        <w:p w14:paraId="002DC1BA" w14:textId="496AE6FA" w:rsidR="008303DE" w:rsidRDefault="008303DE"/>
        <w:tbl>
          <w:tblPr>
            <w:tblpPr w:leftFromText="187" w:rightFromText="187" w:vertAnchor="page" w:horzAnchor="margin" w:tblpY="5551"/>
            <w:tblW w:w="5000" w:type="pct"/>
            <w:tblLook w:val="04A0" w:firstRow="1" w:lastRow="0" w:firstColumn="1" w:lastColumn="0" w:noHBand="0" w:noVBand="1"/>
          </w:tblPr>
          <w:tblGrid>
            <w:gridCol w:w="9026"/>
          </w:tblGrid>
          <w:tr w:rsidR="00CE7D69" w14:paraId="08AB04D7" w14:textId="77777777" w:rsidTr="00CE7D69">
            <w:trPr>
              <w:trHeight w:val="2464"/>
            </w:trPr>
            <w:tc>
              <w:tcPr>
                <w:tcW w:w="9026" w:type="dxa"/>
                <w:tcMar>
                  <w:top w:w="216" w:type="dxa"/>
                  <w:left w:w="115" w:type="dxa"/>
                  <w:bottom w:w="216" w:type="dxa"/>
                  <w:right w:w="115" w:type="dxa"/>
                </w:tcMar>
              </w:tcPr>
              <w:p w14:paraId="79CBF4FB" w14:textId="77777777" w:rsidR="00CE7D69" w:rsidRPr="008303DE" w:rsidRDefault="00CE7D69" w:rsidP="00CE7D69">
                <w:pPr>
                  <w:pStyle w:val="NoSpacing"/>
                  <w:rPr>
                    <w:color w:val="002060"/>
                  </w:rPr>
                </w:pPr>
                <w:r w:rsidRPr="008303DE">
                  <w:rPr>
                    <w:color w:val="002060"/>
                  </w:rPr>
                  <w:t>© Building and Construction Authority, September 2021</w:t>
                </w:r>
              </w:p>
              <w:sdt>
                <w:sdtPr>
                  <w:rPr>
                    <w:color w:val="002060"/>
                  </w:rPr>
                  <w:alias w:val="Date"/>
                  <w:id w:val="1340693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20823F4A" w14:textId="77777777" w:rsidR="00CE7D69" w:rsidRPr="008303DE" w:rsidRDefault="00CE7D69" w:rsidP="00CE7D69">
                    <w:pPr>
                      <w:pStyle w:val="NoSpacing"/>
                      <w:rPr>
                        <w:color w:val="002060"/>
                      </w:rPr>
                    </w:pPr>
                    <w:r w:rsidRPr="008303DE">
                      <w:rPr>
                        <w:color w:val="002060"/>
                      </w:rPr>
                      <w:t>All rights reserved. The Green Lease Toolkit is electronically published by the Building and Construction Authority</w:t>
                    </w:r>
                  </w:p>
                </w:sdtContent>
              </w:sdt>
              <w:p w14:paraId="3FC2C855" w14:textId="77777777" w:rsidR="00CE7D69" w:rsidRDefault="00CE7D69" w:rsidP="00CE7D69">
                <w:pPr>
                  <w:pStyle w:val="NoSpacing"/>
                  <w:rPr>
                    <w:color w:val="4F81BD" w:themeColor="accent1"/>
                  </w:rPr>
                </w:pPr>
              </w:p>
              <w:p w14:paraId="2E8C458A" w14:textId="77777777" w:rsidR="00CE7D69" w:rsidRDefault="00CE7D69" w:rsidP="00CE7D69">
                <w:pPr>
                  <w:shd w:val="clear" w:color="auto" w:fill="FFFFFF"/>
                  <w:spacing w:after="0" w:line="264" w:lineRule="auto"/>
                  <w:jc w:val="both"/>
                  <w:rPr>
                    <w:color w:val="002060"/>
                  </w:rPr>
                </w:pPr>
              </w:p>
              <w:p w14:paraId="56547EBF" w14:textId="77777777" w:rsidR="00CE7D69" w:rsidRPr="00226741" w:rsidRDefault="00CE7D69" w:rsidP="00CE7D69">
                <w:pPr>
                  <w:rPr>
                    <w:rFonts w:eastAsia="SimSun" w:cstheme="minorHAnsi"/>
                    <w:b/>
                    <w:bCs/>
                    <w:color w:val="365F91" w:themeColor="accent1" w:themeShade="BF"/>
                    <w:sz w:val="32"/>
                    <w:szCs w:val="32"/>
                  </w:rPr>
                </w:pPr>
                <w:r>
                  <w:rPr>
                    <w:rFonts w:eastAsia="SimSun" w:cstheme="minorHAnsi"/>
                    <w:b/>
                    <w:bCs/>
                    <w:color w:val="365F91" w:themeColor="accent1" w:themeShade="BF"/>
                    <w:sz w:val="32"/>
                    <w:szCs w:val="32"/>
                  </w:rPr>
                  <w:t>Disclaimer</w:t>
                </w:r>
              </w:p>
              <w:p w14:paraId="028F4766" w14:textId="77777777" w:rsidR="00CE7D69" w:rsidRPr="00CE7D69" w:rsidRDefault="00CE7D69" w:rsidP="00CE7D69">
                <w:pPr>
                  <w:shd w:val="clear" w:color="auto" w:fill="FFFFFF"/>
                  <w:spacing w:after="0" w:line="264" w:lineRule="auto"/>
                  <w:jc w:val="both"/>
                  <w:rPr>
                    <w:color w:val="002060"/>
                  </w:rPr>
                </w:pPr>
                <w:r w:rsidRPr="00CE7D69">
                  <w:rPr>
                    <w:color w:val="002060"/>
                  </w:rPr>
                  <w:t>Users are free to use and adapt the Green Schedule clauses as required at their own risk. BCA shall not be liable for any damage or loss of any kind caused as a result (direct or indirect) of the use of the Green Schedule clauses, including but not limited to any damage or loss suffered as a result of reliance on the Green Schedule clauses.</w:t>
                </w:r>
              </w:p>
              <w:p w14:paraId="4DB2B7A5" w14:textId="77777777" w:rsidR="00CE7D69" w:rsidRPr="00CE7D69" w:rsidRDefault="00CE7D69" w:rsidP="00CE7D69">
                <w:pPr>
                  <w:shd w:val="clear" w:color="auto" w:fill="FFFFFF"/>
                  <w:spacing w:after="0" w:line="264" w:lineRule="auto"/>
                  <w:jc w:val="both"/>
                  <w:rPr>
                    <w:color w:val="002060"/>
                  </w:rPr>
                </w:pPr>
              </w:p>
              <w:p w14:paraId="5C3C197F" w14:textId="77777777" w:rsidR="00CE7D69" w:rsidRDefault="00CE7D69" w:rsidP="00CE7D69">
                <w:pPr>
                  <w:pStyle w:val="NoSpacing"/>
                  <w:rPr>
                    <w:color w:val="4F81BD" w:themeColor="accent1"/>
                  </w:rPr>
                </w:pPr>
                <w:r w:rsidRPr="00CE7D69">
                  <w:rPr>
                    <w:color w:val="002060"/>
                  </w:rPr>
                  <w:t>Users should seek relevant professional and legal advice before including the clauses or the schedule within their lease, or tenancy agreements.</w:t>
                </w:r>
              </w:p>
            </w:tc>
          </w:tr>
        </w:tbl>
        <w:p w14:paraId="252BD838" w14:textId="1E129631" w:rsidR="008303DE" w:rsidRDefault="008303DE"/>
        <w:p w14:paraId="4A1891F8" w14:textId="77777777" w:rsidR="008303DE" w:rsidRDefault="008303DE"/>
        <w:p w14:paraId="13E2B923" w14:textId="77777777" w:rsidR="00B26FDD" w:rsidRDefault="00B26FDD">
          <w:r>
            <w:br w:type="page"/>
          </w:r>
        </w:p>
        <w:p w14:paraId="12EDE0F5" w14:textId="19D40F74" w:rsidR="006E1994" w:rsidRDefault="00062FCE">
          <w:pPr>
            <w:rPr>
              <w:rFonts w:ascii="Cambria" w:hAnsi="Cambria"/>
              <w:sz w:val="36"/>
              <w:szCs w:val="36"/>
            </w:rPr>
          </w:pPr>
        </w:p>
      </w:sdtContent>
    </w:sdt>
    <w:sdt>
      <w:sdtPr>
        <w:rPr>
          <w:rFonts w:asciiTheme="minorHAnsi" w:eastAsiaTheme="minorHAnsi" w:hAnsiTheme="minorHAnsi" w:cstheme="minorBidi"/>
          <w:b w:val="0"/>
          <w:color w:val="auto"/>
          <w:sz w:val="22"/>
          <w:szCs w:val="22"/>
          <w:lang w:val="en-GB"/>
        </w:rPr>
        <w:id w:val="82273035"/>
        <w:docPartObj>
          <w:docPartGallery w:val="Table of Contents"/>
          <w:docPartUnique/>
        </w:docPartObj>
      </w:sdtPr>
      <w:sdtEndPr>
        <w:rPr>
          <w:bCs/>
          <w:noProof/>
        </w:rPr>
      </w:sdtEndPr>
      <w:sdtContent>
        <w:p w14:paraId="6EB9CDEB" w14:textId="77777777" w:rsidR="00792D3F" w:rsidRPr="00394A0B" w:rsidRDefault="00792D3F">
          <w:pPr>
            <w:pStyle w:val="TOCHeading"/>
            <w:rPr>
              <w:sz w:val="40"/>
              <w:szCs w:val="40"/>
            </w:rPr>
          </w:pPr>
          <w:r w:rsidRPr="00394A0B">
            <w:rPr>
              <w:sz w:val="40"/>
              <w:szCs w:val="40"/>
            </w:rPr>
            <w:t>Contents</w:t>
          </w:r>
        </w:p>
        <w:p w14:paraId="691DB12C" w14:textId="0DEEEEED" w:rsidR="00AC15B6" w:rsidRPr="00394A0B" w:rsidRDefault="00792D3F">
          <w:pPr>
            <w:pStyle w:val="TOC1"/>
            <w:tabs>
              <w:tab w:val="right" w:pos="9016"/>
            </w:tabs>
            <w:rPr>
              <w:rFonts w:eastAsiaTheme="minorEastAsia" w:cstheme="minorBidi"/>
              <w:b w:val="0"/>
              <w:bCs w:val="0"/>
              <w:noProof/>
              <w:sz w:val="28"/>
              <w:szCs w:val="28"/>
              <w:lang w:val="en-SG" w:eastAsia="en-SG"/>
            </w:rPr>
          </w:pPr>
          <w:r w:rsidRPr="00394A0B">
            <w:rPr>
              <w:rFonts w:asciiTheme="majorHAnsi" w:hAnsiTheme="majorHAnsi"/>
              <w:caps/>
              <w:sz w:val="32"/>
              <w:szCs w:val="32"/>
            </w:rPr>
            <w:fldChar w:fldCharType="begin"/>
          </w:r>
          <w:r w:rsidRPr="00394A0B">
            <w:rPr>
              <w:rFonts w:asciiTheme="majorHAnsi" w:hAnsiTheme="majorHAnsi"/>
              <w:caps/>
              <w:sz w:val="32"/>
              <w:szCs w:val="32"/>
            </w:rPr>
            <w:instrText xml:space="preserve"> TOC \o "1-3" \h \z \u </w:instrText>
          </w:r>
          <w:r w:rsidRPr="00394A0B">
            <w:rPr>
              <w:rFonts w:asciiTheme="majorHAnsi" w:hAnsiTheme="majorHAnsi"/>
              <w:caps/>
              <w:sz w:val="32"/>
              <w:szCs w:val="32"/>
            </w:rPr>
            <w:fldChar w:fldCharType="separate"/>
          </w:r>
          <w:hyperlink w:anchor="_Toc73527095" w:history="1">
            <w:r w:rsidR="00AC15B6" w:rsidRPr="00394A0B">
              <w:rPr>
                <w:rStyle w:val="Hyperlink"/>
                <w:b w:val="0"/>
                <w:bCs w:val="0"/>
                <w:noProof/>
                <w:sz w:val="24"/>
                <w:szCs w:val="24"/>
              </w:rPr>
              <w:t>Introduction:</w:t>
            </w:r>
            <w:r w:rsidR="00AC15B6" w:rsidRPr="00394A0B">
              <w:rPr>
                <w:b w:val="0"/>
                <w:bCs w:val="0"/>
                <w:noProof/>
                <w:webHidden/>
                <w:sz w:val="24"/>
                <w:szCs w:val="24"/>
              </w:rPr>
              <w:tab/>
            </w:r>
            <w:r w:rsidR="00AC15B6" w:rsidRPr="00394A0B">
              <w:rPr>
                <w:b w:val="0"/>
                <w:bCs w:val="0"/>
                <w:noProof/>
                <w:webHidden/>
                <w:sz w:val="24"/>
                <w:szCs w:val="24"/>
              </w:rPr>
              <w:fldChar w:fldCharType="begin"/>
            </w:r>
            <w:r w:rsidR="00AC15B6" w:rsidRPr="00394A0B">
              <w:rPr>
                <w:b w:val="0"/>
                <w:bCs w:val="0"/>
                <w:noProof/>
                <w:webHidden/>
                <w:sz w:val="24"/>
                <w:szCs w:val="24"/>
              </w:rPr>
              <w:instrText xml:space="preserve"> PAGEREF _Toc73527095 \h </w:instrText>
            </w:r>
            <w:r w:rsidR="00AC15B6" w:rsidRPr="00394A0B">
              <w:rPr>
                <w:b w:val="0"/>
                <w:bCs w:val="0"/>
                <w:noProof/>
                <w:webHidden/>
                <w:sz w:val="24"/>
                <w:szCs w:val="24"/>
              </w:rPr>
            </w:r>
            <w:r w:rsidR="00AC15B6" w:rsidRPr="00394A0B">
              <w:rPr>
                <w:b w:val="0"/>
                <w:bCs w:val="0"/>
                <w:noProof/>
                <w:webHidden/>
                <w:sz w:val="24"/>
                <w:szCs w:val="24"/>
              </w:rPr>
              <w:fldChar w:fldCharType="separate"/>
            </w:r>
            <w:r w:rsidR="000727D5">
              <w:rPr>
                <w:b w:val="0"/>
                <w:bCs w:val="0"/>
                <w:noProof/>
                <w:webHidden/>
                <w:sz w:val="24"/>
                <w:szCs w:val="24"/>
              </w:rPr>
              <w:t>3</w:t>
            </w:r>
            <w:r w:rsidR="00AC15B6" w:rsidRPr="00394A0B">
              <w:rPr>
                <w:b w:val="0"/>
                <w:bCs w:val="0"/>
                <w:noProof/>
                <w:webHidden/>
                <w:sz w:val="24"/>
                <w:szCs w:val="24"/>
              </w:rPr>
              <w:fldChar w:fldCharType="end"/>
            </w:r>
          </w:hyperlink>
        </w:p>
        <w:p w14:paraId="3322C81E" w14:textId="4C679D6C" w:rsidR="00AC15B6" w:rsidRPr="00394A0B" w:rsidRDefault="00062FCE">
          <w:pPr>
            <w:pStyle w:val="TOC1"/>
            <w:tabs>
              <w:tab w:val="right" w:pos="9016"/>
            </w:tabs>
            <w:rPr>
              <w:rFonts w:eastAsiaTheme="minorEastAsia" w:cstheme="minorBidi"/>
              <w:b w:val="0"/>
              <w:bCs w:val="0"/>
              <w:noProof/>
              <w:sz w:val="28"/>
              <w:szCs w:val="28"/>
              <w:lang w:val="en-SG" w:eastAsia="en-SG"/>
            </w:rPr>
          </w:pPr>
          <w:hyperlink w:anchor="_Toc73527096" w:history="1">
            <w:r w:rsidR="00AC15B6" w:rsidRPr="00394A0B">
              <w:rPr>
                <w:rStyle w:val="Hyperlink"/>
                <w:b w:val="0"/>
                <w:bCs w:val="0"/>
                <w:noProof/>
                <w:sz w:val="24"/>
                <w:szCs w:val="24"/>
              </w:rPr>
              <w:t>General:</w:t>
            </w:r>
            <w:r w:rsidR="00AC15B6" w:rsidRPr="00394A0B">
              <w:rPr>
                <w:b w:val="0"/>
                <w:bCs w:val="0"/>
                <w:noProof/>
                <w:webHidden/>
                <w:sz w:val="24"/>
                <w:szCs w:val="24"/>
              </w:rPr>
              <w:tab/>
            </w:r>
            <w:r w:rsidR="00AC15B6" w:rsidRPr="00394A0B">
              <w:rPr>
                <w:b w:val="0"/>
                <w:bCs w:val="0"/>
                <w:noProof/>
                <w:webHidden/>
                <w:sz w:val="24"/>
                <w:szCs w:val="24"/>
              </w:rPr>
              <w:fldChar w:fldCharType="begin"/>
            </w:r>
            <w:r w:rsidR="00AC15B6" w:rsidRPr="00394A0B">
              <w:rPr>
                <w:b w:val="0"/>
                <w:bCs w:val="0"/>
                <w:noProof/>
                <w:webHidden/>
                <w:sz w:val="24"/>
                <w:szCs w:val="24"/>
              </w:rPr>
              <w:instrText xml:space="preserve"> PAGEREF _Toc73527096 \h </w:instrText>
            </w:r>
            <w:r w:rsidR="00AC15B6" w:rsidRPr="00394A0B">
              <w:rPr>
                <w:b w:val="0"/>
                <w:bCs w:val="0"/>
                <w:noProof/>
                <w:webHidden/>
                <w:sz w:val="24"/>
                <w:szCs w:val="24"/>
              </w:rPr>
            </w:r>
            <w:r w:rsidR="00AC15B6" w:rsidRPr="00394A0B">
              <w:rPr>
                <w:b w:val="0"/>
                <w:bCs w:val="0"/>
                <w:noProof/>
                <w:webHidden/>
                <w:sz w:val="24"/>
                <w:szCs w:val="24"/>
              </w:rPr>
              <w:fldChar w:fldCharType="separate"/>
            </w:r>
            <w:r w:rsidR="000727D5">
              <w:rPr>
                <w:b w:val="0"/>
                <w:bCs w:val="0"/>
                <w:noProof/>
                <w:webHidden/>
                <w:sz w:val="24"/>
                <w:szCs w:val="24"/>
              </w:rPr>
              <w:t>4</w:t>
            </w:r>
            <w:r w:rsidR="00AC15B6" w:rsidRPr="00394A0B">
              <w:rPr>
                <w:b w:val="0"/>
                <w:bCs w:val="0"/>
                <w:noProof/>
                <w:webHidden/>
                <w:sz w:val="24"/>
                <w:szCs w:val="24"/>
              </w:rPr>
              <w:fldChar w:fldCharType="end"/>
            </w:r>
          </w:hyperlink>
        </w:p>
        <w:p w14:paraId="5863E649" w14:textId="24C2255F" w:rsidR="00AC15B6" w:rsidRPr="00394A0B" w:rsidRDefault="00062FCE">
          <w:pPr>
            <w:pStyle w:val="TOC1"/>
            <w:tabs>
              <w:tab w:val="right" w:pos="9016"/>
            </w:tabs>
            <w:rPr>
              <w:rFonts w:eastAsiaTheme="minorEastAsia" w:cstheme="minorBidi"/>
              <w:b w:val="0"/>
              <w:bCs w:val="0"/>
              <w:noProof/>
              <w:sz w:val="28"/>
              <w:szCs w:val="28"/>
              <w:lang w:val="en-SG" w:eastAsia="en-SG"/>
            </w:rPr>
          </w:pPr>
          <w:hyperlink w:anchor="_Toc73527097" w:history="1">
            <w:r w:rsidR="00AC15B6" w:rsidRPr="00394A0B">
              <w:rPr>
                <w:rStyle w:val="Hyperlink"/>
                <w:b w:val="0"/>
                <w:bCs w:val="0"/>
                <w:noProof/>
                <w:sz w:val="24"/>
                <w:szCs w:val="24"/>
              </w:rPr>
              <w:t>Section A: Suggested Minimum Standards (Landlord)</w:t>
            </w:r>
            <w:r w:rsidR="00AC15B6" w:rsidRPr="00394A0B">
              <w:rPr>
                <w:b w:val="0"/>
                <w:bCs w:val="0"/>
                <w:noProof/>
                <w:webHidden/>
                <w:sz w:val="24"/>
                <w:szCs w:val="24"/>
              </w:rPr>
              <w:tab/>
            </w:r>
            <w:r w:rsidR="00AC15B6" w:rsidRPr="00394A0B">
              <w:rPr>
                <w:b w:val="0"/>
                <w:bCs w:val="0"/>
                <w:noProof/>
                <w:webHidden/>
                <w:sz w:val="24"/>
                <w:szCs w:val="24"/>
              </w:rPr>
              <w:fldChar w:fldCharType="begin"/>
            </w:r>
            <w:r w:rsidR="00AC15B6" w:rsidRPr="00394A0B">
              <w:rPr>
                <w:b w:val="0"/>
                <w:bCs w:val="0"/>
                <w:noProof/>
                <w:webHidden/>
                <w:sz w:val="24"/>
                <w:szCs w:val="24"/>
              </w:rPr>
              <w:instrText xml:space="preserve"> PAGEREF _Toc73527097 \h </w:instrText>
            </w:r>
            <w:r w:rsidR="00AC15B6" w:rsidRPr="00394A0B">
              <w:rPr>
                <w:b w:val="0"/>
                <w:bCs w:val="0"/>
                <w:noProof/>
                <w:webHidden/>
                <w:sz w:val="24"/>
                <w:szCs w:val="24"/>
              </w:rPr>
            </w:r>
            <w:r w:rsidR="00AC15B6" w:rsidRPr="00394A0B">
              <w:rPr>
                <w:b w:val="0"/>
                <w:bCs w:val="0"/>
                <w:noProof/>
                <w:webHidden/>
                <w:sz w:val="24"/>
                <w:szCs w:val="24"/>
              </w:rPr>
              <w:fldChar w:fldCharType="separate"/>
            </w:r>
            <w:r w:rsidR="000727D5">
              <w:rPr>
                <w:b w:val="0"/>
                <w:bCs w:val="0"/>
                <w:noProof/>
                <w:webHidden/>
                <w:sz w:val="24"/>
                <w:szCs w:val="24"/>
              </w:rPr>
              <w:t>4</w:t>
            </w:r>
            <w:r w:rsidR="00AC15B6" w:rsidRPr="00394A0B">
              <w:rPr>
                <w:b w:val="0"/>
                <w:bCs w:val="0"/>
                <w:noProof/>
                <w:webHidden/>
                <w:sz w:val="24"/>
                <w:szCs w:val="24"/>
              </w:rPr>
              <w:fldChar w:fldCharType="end"/>
            </w:r>
          </w:hyperlink>
        </w:p>
        <w:p w14:paraId="0B8671FD" w14:textId="2BB10A61" w:rsidR="00AC15B6" w:rsidRPr="00394A0B" w:rsidRDefault="00062FCE">
          <w:pPr>
            <w:pStyle w:val="TOC1"/>
            <w:tabs>
              <w:tab w:val="right" w:pos="9016"/>
            </w:tabs>
            <w:rPr>
              <w:rFonts w:eastAsiaTheme="minorEastAsia" w:cstheme="minorBidi"/>
              <w:b w:val="0"/>
              <w:bCs w:val="0"/>
              <w:noProof/>
              <w:sz w:val="28"/>
              <w:szCs w:val="28"/>
              <w:lang w:val="en-SG" w:eastAsia="en-SG"/>
            </w:rPr>
          </w:pPr>
          <w:hyperlink w:anchor="_Toc73527098" w:history="1">
            <w:r w:rsidR="00AC15B6" w:rsidRPr="00394A0B">
              <w:rPr>
                <w:rStyle w:val="Hyperlink"/>
                <w:b w:val="0"/>
                <w:bCs w:val="0"/>
                <w:noProof/>
                <w:sz w:val="24"/>
                <w:szCs w:val="24"/>
              </w:rPr>
              <w:t>Section B: Additional Standards (Landlord)</w:t>
            </w:r>
            <w:r w:rsidR="00AC15B6" w:rsidRPr="00394A0B">
              <w:rPr>
                <w:b w:val="0"/>
                <w:bCs w:val="0"/>
                <w:noProof/>
                <w:webHidden/>
                <w:sz w:val="24"/>
                <w:szCs w:val="24"/>
              </w:rPr>
              <w:tab/>
            </w:r>
            <w:r w:rsidR="00AC15B6" w:rsidRPr="00394A0B">
              <w:rPr>
                <w:b w:val="0"/>
                <w:bCs w:val="0"/>
                <w:noProof/>
                <w:webHidden/>
                <w:sz w:val="24"/>
                <w:szCs w:val="24"/>
              </w:rPr>
              <w:fldChar w:fldCharType="begin"/>
            </w:r>
            <w:r w:rsidR="00AC15B6" w:rsidRPr="00394A0B">
              <w:rPr>
                <w:b w:val="0"/>
                <w:bCs w:val="0"/>
                <w:noProof/>
                <w:webHidden/>
                <w:sz w:val="24"/>
                <w:szCs w:val="24"/>
              </w:rPr>
              <w:instrText xml:space="preserve"> PAGEREF _Toc73527098 \h </w:instrText>
            </w:r>
            <w:r w:rsidR="00AC15B6" w:rsidRPr="00394A0B">
              <w:rPr>
                <w:b w:val="0"/>
                <w:bCs w:val="0"/>
                <w:noProof/>
                <w:webHidden/>
                <w:sz w:val="24"/>
                <w:szCs w:val="24"/>
              </w:rPr>
            </w:r>
            <w:r w:rsidR="00AC15B6" w:rsidRPr="00394A0B">
              <w:rPr>
                <w:b w:val="0"/>
                <w:bCs w:val="0"/>
                <w:noProof/>
                <w:webHidden/>
                <w:sz w:val="24"/>
                <w:szCs w:val="24"/>
              </w:rPr>
              <w:fldChar w:fldCharType="separate"/>
            </w:r>
            <w:r w:rsidR="000727D5">
              <w:rPr>
                <w:b w:val="0"/>
                <w:bCs w:val="0"/>
                <w:noProof/>
                <w:webHidden/>
                <w:sz w:val="24"/>
                <w:szCs w:val="24"/>
              </w:rPr>
              <w:t>6</w:t>
            </w:r>
            <w:r w:rsidR="00AC15B6" w:rsidRPr="00394A0B">
              <w:rPr>
                <w:b w:val="0"/>
                <w:bCs w:val="0"/>
                <w:noProof/>
                <w:webHidden/>
                <w:sz w:val="24"/>
                <w:szCs w:val="24"/>
              </w:rPr>
              <w:fldChar w:fldCharType="end"/>
            </w:r>
          </w:hyperlink>
        </w:p>
        <w:p w14:paraId="3FCFA6DD" w14:textId="7F17D5BE" w:rsidR="00AC15B6" w:rsidRPr="00394A0B" w:rsidRDefault="00062FCE">
          <w:pPr>
            <w:pStyle w:val="TOC1"/>
            <w:tabs>
              <w:tab w:val="right" w:pos="9016"/>
            </w:tabs>
            <w:rPr>
              <w:rFonts w:eastAsiaTheme="minorEastAsia" w:cstheme="minorBidi"/>
              <w:b w:val="0"/>
              <w:bCs w:val="0"/>
              <w:noProof/>
              <w:sz w:val="28"/>
              <w:szCs w:val="28"/>
              <w:lang w:val="en-SG" w:eastAsia="en-SG"/>
            </w:rPr>
          </w:pPr>
          <w:hyperlink w:anchor="_Toc73527099" w:history="1">
            <w:r w:rsidR="00AC15B6" w:rsidRPr="00394A0B">
              <w:rPr>
                <w:rStyle w:val="Hyperlink"/>
                <w:b w:val="0"/>
                <w:bCs w:val="0"/>
                <w:noProof/>
                <w:sz w:val="24"/>
                <w:szCs w:val="24"/>
              </w:rPr>
              <w:t>Section C: Suggested Minimum Standards (Tenants)</w:t>
            </w:r>
            <w:r w:rsidR="00AC15B6" w:rsidRPr="00394A0B">
              <w:rPr>
                <w:b w:val="0"/>
                <w:bCs w:val="0"/>
                <w:noProof/>
                <w:webHidden/>
                <w:sz w:val="24"/>
                <w:szCs w:val="24"/>
              </w:rPr>
              <w:tab/>
            </w:r>
            <w:r w:rsidR="00AC15B6" w:rsidRPr="00394A0B">
              <w:rPr>
                <w:b w:val="0"/>
                <w:bCs w:val="0"/>
                <w:noProof/>
                <w:webHidden/>
                <w:sz w:val="24"/>
                <w:szCs w:val="24"/>
              </w:rPr>
              <w:fldChar w:fldCharType="begin"/>
            </w:r>
            <w:r w:rsidR="00AC15B6" w:rsidRPr="00394A0B">
              <w:rPr>
                <w:b w:val="0"/>
                <w:bCs w:val="0"/>
                <w:noProof/>
                <w:webHidden/>
                <w:sz w:val="24"/>
                <w:szCs w:val="24"/>
              </w:rPr>
              <w:instrText xml:space="preserve"> PAGEREF _Toc73527099 \h </w:instrText>
            </w:r>
            <w:r w:rsidR="00AC15B6" w:rsidRPr="00394A0B">
              <w:rPr>
                <w:b w:val="0"/>
                <w:bCs w:val="0"/>
                <w:noProof/>
                <w:webHidden/>
                <w:sz w:val="24"/>
                <w:szCs w:val="24"/>
              </w:rPr>
            </w:r>
            <w:r w:rsidR="00AC15B6" w:rsidRPr="00394A0B">
              <w:rPr>
                <w:b w:val="0"/>
                <w:bCs w:val="0"/>
                <w:noProof/>
                <w:webHidden/>
                <w:sz w:val="24"/>
                <w:szCs w:val="24"/>
              </w:rPr>
              <w:fldChar w:fldCharType="separate"/>
            </w:r>
            <w:r w:rsidR="000727D5">
              <w:rPr>
                <w:b w:val="0"/>
                <w:bCs w:val="0"/>
                <w:noProof/>
                <w:webHidden/>
                <w:sz w:val="24"/>
                <w:szCs w:val="24"/>
              </w:rPr>
              <w:t>10</w:t>
            </w:r>
            <w:r w:rsidR="00AC15B6" w:rsidRPr="00394A0B">
              <w:rPr>
                <w:b w:val="0"/>
                <w:bCs w:val="0"/>
                <w:noProof/>
                <w:webHidden/>
                <w:sz w:val="24"/>
                <w:szCs w:val="24"/>
              </w:rPr>
              <w:fldChar w:fldCharType="end"/>
            </w:r>
          </w:hyperlink>
        </w:p>
        <w:p w14:paraId="1C414FB8" w14:textId="7F57EA17" w:rsidR="00AC15B6" w:rsidRPr="00394A0B" w:rsidRDefault="00062FCE">
          <w:pPr>
            <w:pStyle w:val="TOC1"/>
            <w:tabs>
              <w:tab w:val="right" w:pos="9016"/>
            </w:tabs>
            <w:rPr>
              <w:rFonts w:eastAsiaTheme="minorEastAsia" w:cstheme="minorBidi"/>
              <w:b w:val="0"/>
              <w:bCs w:val="0"/>
              <w:noProof/>
              <w:sz w:val="28"/>
              <w:szCs w:val="28"/>
              <w:lang w:val="en-SG" w:eastAsia="en-SG"/>
            </w:rPr>
          </w:pPr>
          <w:hyperlink w:anchor="_Toc73527100" w:history="1">
            <w:r w:rsidR="00AC15B6" w:rsidRPr="00394A0B">
              <w:rPr>
                <w:rStyle w:val="Hyperlink"/>
                <w:b w:val="0"/>
                <w:bCs w:val="0"/>
                <w:noProof/>
                <w:sz w:val="24"/>
                <w:szCs w:val="24"/>
              </w:rPr>
              <w:t>Section D: Additional Standards (Tenants)</w:t>
            </w:r>
            <w:r w:rsidR="00AC15B6" w:rsidRPr="00394A0B">
              <w:rPr>
                <w:b w:val="0"/>
                <w:bCs w:val="0"/>
                <w:noProof/>
                <w:webHidden/>
                <w:sz w:val="24"/>
                <w:szCs w:val="24"/>
              </w:rPr>
              <w:tab/>
            </w:r>
            <w:r w:rsidR="00AC15B6" w:rsidRPr="00394A0B">
              <w:rPr>
                <w:b w:val="0"/>
                <w:bCs w:val="0"/>
                <w:noProof/>
                <w:webHidden/>
                <w:sz w:val="24"/>
                <w:szCs w:val="24"/>
              </w:rPr>
              <w:fldChar w:fldCharType="begin"/>
            </w:r>
            <w:r w:rsidR="00AC15B6" w:rsidRPr="00394A0B">
              <w:rPr>
                <w:b w:val="0"/>
                <w:bCs w:val="0"/>
                <w:noProof/>
                <w:webHidden/>
                <w:sz w:val="24"/>
                <w:szCs w:val="24"/>
              </w:rPr>
              <w:instrText xml:space="preserve"> PAGEREF _Toc73527100 \h </w:instrText>
            </w:r>
            <w:r w:rsidR="00AC15B6" w:rsidRPr="00394A0B">
              <w:rPr>
                <w:b w:val="0"/>
                <w:bCs w:val="0"/>
                <w:noProof/>
                <w:webHidden/>
                <w:sz w:val="24"/>
                <w:szCs w:val="24"/>
              </w:rPr>
            </w:r>
            <w:r w:rsidR="00AC15B6" w:rsidRPr="00394A0B">
              <w:rPr>
                <w:b w:val="0"/>
                <w:bCs w:val="0"/>
                <w:noProof/>
                <w:webHidden/>
                <w:sz w:val="24"/>
                <w:szCs w:val="24"/>
              </w:rPr>
              <w:fldChar w:fldCharType="separate"/>
            </w:r>
            <w:r w:rsidR="000727D5">
              <w:rPr>
                <w:b w:val="0"/>
                <w:bCs w:val="0"/>
                <w:noProof/>
                <w:webHidden/>
                <w:sz w:val="24"/>
                <w:szCs w:val="24"/>
              </w:rPr>
              <w:t>11</w:t>
            </w:r>
            <w:r w:rsidR="00AC15B6" w:rsidRPr="00394A0B">
              <w:rPr>
                <w:b w:val="0"/>
                <w:bCs w:val="0"/>
                <w:noProof/>
                <w:webHidden/>
                <w:sz w:val="24"/>
                <w:szCs w:val="24"/>
              </w:rPr>
              <w:fldChar w:fldCharType="end"/>
            </w:r>
          </w:hyperlink>
        </w:p>
        <w:p w14:paraId="109BFABF" w14:textId="5EA3E5D3" w:rsidR="00AC15B6" w:rsidRPr="00394A0B" w:rsidRDefault="00062FCE">
          <w:pPr>
            <w:pStyle w:val="TOC1"/>
            <w:tabs>
              <w:tab w:val="right" w:pos="9016"/>
            </w:tabs>
            <w:rPr>
              <w:rFonts w:eastAsiaTheme="minorEastAsia" w:cstheme="minorBidi"/>
              <w:noProof/>
              <w:sz w:val="28"/>
              <w:szCs w:val="28"/>
              <w:lang w:val="en-SG" w:eastAsia="en-SG"/>
            </w:rPr>
          </w:pPr>
          <w:hyperlink w:anchor="_Toc73527101" w:history="1">
            <w:r w:rsidR="00AC15B6" w:rsidRPr="00394A0B">
              <w:rPr>
                <w:rStyle w:val="Hyperlink"/>
                <w:b w:val="0"/>
                <w:bCs w:val="0"/>
                <w:noProof/>
                <w:sz w:val="24"/>
                <w:szCs w:val="24"/>
              </w:rPr>
              <w:t>Section E: Environmental Assessment and Reporting</w:t>
            </w:r>
            <w:r w:rsidR="00AC15B6" w:rsidRPr="00394A0B">
              <w:rPr>
                <w:b w:val="0"/>
                <w:bCs w:val="0"/>
                <w:noProof/>
                <w:webHidden/>
                <w:sz w:val="24"/>
                <w:szCs w:val="24"/>
              </w:rPr>
              <w:tab/>
            </w:r>
            <w:r w:rsidR="00AC15B6" w:rsidRPr="00394A0B">
              <w:rPr>
                <w:b w:val="0"/>
                <w:bCs w:val="0"/>
                <w:noProof/>
                <w:webHidden/>
                <w:sz w:val="24"/>
                <w:szCs w:val="24"/>
              </w:rPr>
              <w:fldChar w:fldCharType="begin"/>
            </w:r>
            <w:r w:rsidR="00AC15B6" w:rsidRPr="00394A0B">
              <w:rPr>
                <w:b w:val="0"/>
                <w:bCs w:val="0"/>
                <w:noProof/>
                <w:webHidden/>
                <w:sz w:val="24"/>
                <w:szCs w:val="24"/>
              </w:rPr>
              <w:instrText xml:space="preserve"> PAGEREF _Toc73527101 \h </w:instrText>
            </w:r>
            <w:r w:rsidR="00AC15B6" w:rsidRPr="00394A0B">
              <w:rPr>
                <w:b w:val="0"/>
                <w:bCs w:val="0"/>
                <w:noProof/>
                <w:webHidden/>
                <w:sz w:val="24"/>
                <w:szCs w:val="24"/>
              </w:rPr>
            </w:r>
            <w:r w:rsidR="00AC15B6" w:rsidRPr="00394A0B">
              <w:rPr>
                <w:b w:val="0"/>
                <w:bCs w:val="0"/>
                <w:noProof/>
                <w:webHidden/>
                <w:sz w:val="24"/>
                <w:szCs w:val="24"/>
              </w:rPr>
              <w:fldChar w:fldCharType="separate"/>
            </w:r>
            <w:r w:rsidR="000727D5">
              <w:rPr>
                <w:b w:val="0"/>
                <w:bCs w:val="0"/>
                <w:noProof/>
                <w:webHidden/>
                <w:sz w:val="24"/>
                <w:szCs w:val="24"/>
              </w:rPr>
              <w:t>15</w:t>
            </w:r>
            <w:r w:rsidR="00AC15B6" w:rsidRPr="00394A0B">
              <w:rPr>
                <w:b w:val="0"/>
                <w:bCs w:val="0"/>
                <w:noProof/>
                <w:webHidden/>
                <w:sz w:val="24"/>
                <w:szCs w:val="24"/>
              </w:rPr>
              <w:fldChar w:fldCharType="end"/>
            </w:r>
          </w:hyperlink>
        </w:p>
        <w:p w14:paraId="4AEF2E01" w14:textId="3A277144" w:rsidR="00792D3F" w:rsidRDefault="00792D3F">
          <w:r w:rsidRPr="00394A0B">
            <w:rPr>
              <w:rFonts w:asciiTheme="majorHAnsi" w:hAnsiTheme="majorHAnsi" w:cstheme="minorHAnsi"/>
              <w:b/>
              <w:bCs/>
              <w:caps/>
              <w:sz w:val="32"/>
              <w:szCs w:val="32"/>
            </w:rPr>
            <w:fldChar w:fldCharType="end"/>
          </w:r>
        </w:p>
      </w:sdtContent>
    </w:sdt>
    <w:p w14:paraId="54C4B42E" w14:textId="77777777" w:rsidR="00792D3F" w:rsidRPr="00A11FEA" w:rsidRDefault="00792D3F" w:rsidP="0014360E">
      <w:pPr>
        <w:rPr>
          <w:rFonts w:ascii="Cambria" w:hAnsi="Cambria"/>
          <w:sz w:val="40"/>
          <w:szCs w:val="40"/>
        </w:rPr>
      </w:pPr>
    </w:p>
    <w:p w14:paraId="7E8538A4" w14:textId="77777777" w:rsidR="0014360E" w:rsidRDefault="0014360E" w:rsidP="006E1994">
      <w:pPr>
        <w:rPr>
          <w:rFonts w:ascii="Cambria" w:hAnsi="Cambria"/>
          <w:sz w:val="36"/>
          <w:szCs w:val="36"/>
        </w:rPr>
      </w:pPr>
    </w:p>
    <w:p w14:paraId="57DAEACE" w14:textId="77777777" w:rsidR="0014360E" w:rsidRDefault="0014360E">
      <w:pPr>
        <w:rPr>
          <w:rFonts w:ascii="Cambria" w:hAnsi="Cambria"/>
          <w:sz w:val="36"/>
          <w:szCs w:val="36"/>
        </w:rPr>
      </w:pPr>
      <w:r>
        <w:rPr>
          <w:rFonts w:ascii="Cambria" w:hAnsi="Cambria"/>
          <w:sz w:val="36"/>
          <w:szCs w:val="36"/>
        </w:rPr>
        <w:br w:type="page"/>
      </w:r>
    </w:p>
    <w:p w14:paraId="046ECB2A" w14:textId="77777777" w:rsidR="006E1994" w:rsidRDefault="006E1994" w:rsidP="00394A0B">
      <w:pPr>
        <w:pStyle w:val="Heading1"/>
      </w:pPr>
      <w:bookmarkStart w:id="1" w:name="_Toc73527095"/>
      <w:r>
        <w:lastRenderedPageBreak/>
        <w:t>Introduction:</w:t>
      </w:r>
      <w:bookmarkEnd w:id="1"/>
    </w:p>
    <w:p w14:paraId="2974B412" w14:textId="77777777" w:rsidR="006E1994" w:rsidRPr="00754967" w:rsidRDefault="006E1994" w:rsidP="006E1994">
      <w:pPr>
        <w:spacing w:before="120" w:after="120"/>
        <w:jc w:val="both"/>
        <w:rPr>
          <w:rFonts w:cstheme="minorHAnsi"/>
        </w:rPr>
      </w:pPr>
      <w:r w:rsidRPr="00754967">
        <w:rPr>
          <w:rFonts w:cstheme="minorHAnsi"/>
        </w:rPr>
        <w:t xml:space="preserve">The BCA have created a green lease toolkit to aid landlords and tenants to work together to improve their environmental performance over the life of the building in which they manage or occupy. </w:t>
      </w:r>
    </w:p>
    <w:p w14:paraId="7D2CD7A6" w14:textId="0FDE56D1" w:rsidR="006E1994" w:rsidRPr="00754967" w:rsidRDefault="006E1994" w:rsidP="006E1994">
      <w:pPr>
        <w:spacing w:before="120" w:after="120"/>
        <w:jc w:val="both"/>
        <w:rPr>
          <w:rFonts w:cstheme="minorHAnsi"/>
        </w:rPr>
      </w:pPr>
      <w:r w:rsidRPr="00754967">
        <w:rPr>
          <w:rFonts w:cstheme="minorHAnsi"/>
        </w:rPr>
        <w:t>The environmentally friendly leasing arrangement or ‘Green Lease’ in short, is an agreement between landlord and tenant which sets out environmental objectives on how the building is to be improved, managed and/or occupied in a sustainable manner.  This both yields cost savings in energy and water which can be shared among parties and provides a better indoor</w:t>
      </w:r>
      <w:r>
        <w:rPr>
          <w:rFonts w:cstheme="minorHAnsi"/>
        </w:rPr>
        <w:t xml:space="preserve"> </w:t>
      </w:r>
      <w:r w:rsidRPr="00754967">
        <w:rPr>
          <w:rFonts w:cstheme="minorHAnsi"/>
        </w:rPr>
        <w:t xml:space="preserve">environment. </w:t>
      </w:r>
    </w:p>
    <w:p w14:paraId="3C59F597" w14:textId="77777777" w:rsidR="006E1994" w:rsidRPr="00754967" w:rsidRDefault="006E1994" w:rsidP="006E1994">
      <w:pPr>
        <w:spacing w:before="120" w:after="120"/>
        <w:jc w:val="both"/>
        <w:rPr>
          <w:rFonts w:cstheme="minorHAnsi"/>
        </w:rPr>
      </w:pPr>
      <w:r w:rsidRPr="00754967">
        <w:rPr>
          <w:rFonts w:cstheme="minorHAnsi"/>
        </w:rPr>
        <w:t>The Green Lease acknowledges the possible synergies in cooperation between building owners and tenants (and any relevant service providers and contractors).  It addresses traditional structural barriers to implementation, such as split incentives and interests between building owners and tenants, by ensuring that the parties with influence over key aspects of environmental performance obtain some benefit from implementing the improvements.  For example, by installing energy efficient lighting that generate less heat, a landlord can benefit from a reduced overall air-conditioning energy consumption while a tenant can benefit from the reduced energy bill for lighting usage.</w:t>
      </w:r>
    </w:p>
    <w:p w14:paraId="622F661D" w14:textId="77777777" w:rsidR="006E1994" w:rsidRPr="00754967" w:rsidRDefault="006E1994" w:rsidP="006E1994">
      <w:pPr>
        <w:spacing w:before="120" w:after="120"/>
        <w:jc w:val="both"/>
        <w:rPr>
          <w:rFonts w:cstheme="minorHAnsi"/>
        </w:rPr>
      </w:pPr>
      <w:r w:rsidRPr="00754967">
        <w:rPr>
          <w:rFonts w:cstheme="minorHAnsi"/>
        </w:rPr>
        <w:t xml:space="preserve">The Green Lease improves transparency and accountability through providing an agreement between both landlord and tenant ensuring that the parties identify and address problems promptly and efficiently together.  </w:t>
      </w:r>
    </w:p>
    <w:p w14:paraId="439B1A75" w14:textId="1895D409" w:rsidR="00862744" w:rsidRDefault="00862744" w:rsidP="00862744">
      <w:pPr>
        <w:spacing w:before="120" w:after="120"/>
        <w:jc w:val="both"/>
        <w:rPr>
          <w:rFonts w:cstheme="minorHAnsi"/>
          <w:b/>
          <w:bCs/>
        </w:rPr>
      </w:pPr>
      <w:r w:rsidRPr="00262F24">
        <w:rPr>
          <w:rFonts w:cstheme="minorHAnsi"/>
          <w:b/>
          <w:bCs/>
        </w:rPr>
        <w:t>The Green Schedule provides a list of standard clauses that contain specific provisions for sustainable design and management</w:t>
      </w:r>
      <w:r w:rsidR="001D14D9">
        <w:rPr>
          <w:rFonts w:cstheme="minorHAnsi"/>
          <w:b/>
          <w:bCs/>
        </w:rPr>
        <w:t xml:space="preserve"> as well as health and well-being. This </w:t>
      </w:r>
      <w:r w:rsidRPr="00262F24">
        <w:rPr>
          <w:rFonts w:cstheme="minorHAnsi"/>
          <w:b/>
          <w:bCs/>
        </w:rPr>
        <w:t>includes monitoring and improving energy efficiency, water efficiency, sustainable materia</w:t>
      </w:r>
      <w:r w:rsidR="001D14D9">
        <w:rPr>
          <w:rFonts w:cstheme="minorHAnsi"/>
          <w:b/>
          <w:bCs/>
        </w:rPr>
        <w:t>l,</w:t>
      </w:r>
      <w:r w:rsidRPr="00262F24">
        <w:rPr>
          <w:rFonts w:cstheme="minorHAnsi"/>
          <w:b/>
          <w:bCs/>
        </w:rPr>
        <w:t xml:space="preserve"> waste management</w:t>
      </w:r>
      <w:r w:rsidR="001D14D9">
        <w:rPr>
          <w:rFonts w:cstheme="minorHAnsi"/>
          <w:b/>
          <w:bCs/>
        </w:rPr>
        <w:t>,</w:t>
      </w:r>
      <w:r w:rsidR="001D14D9" w:rsidRPr="001D14D9">
        <w:rPr>
          <w:rFonts w:cstheme="minorHAnsi"/>
          <w:b/>
          <w:bCs/>
        </w:rPr>
        <w:t xml:space="preserve"> </w:t>
      </w:r>
      <w:r w:rsidR="001D14D9" w:rsidRPr="00262F24">
        <w:rPr>
          <w:rFonts w:cstheme="minorHAnsi"/>
          <w:b/>
          <w:bCs/>
        </w:rPr>
        <w:t>indoor environmental quality</w:t>
      </w:r>
      <w:r w:rsidR="001D14D9">
        <w:rPr>
          <w:rFonts w:cstheme="minorHAnsi"/>
          <w:b/>
          <w:bCs/>
        </w:rPr>
        <w:t>, comfort and well-being of the users and occupants</w:t>
      </w:r>
      <w:r w:rsidRPr="00262F24">
        <w:rPr>
          <w:rFonts w:cstheme="minorHAnsi"/>
          <w:b/>
          <w:bCs/>
        </w:rPr>
        <w:t>. Through a target</w:t>
      </w:r>
      <w:r>
        <w:rPr>
          <w:rFonts w:cstheme="minorHAnsi"/>
          <w:b/>
          <w:bCs/>
        </w:rPr>
        <w:t xml:space="preserve">/ </w:t>
      </w:r>
      <w:proofErr w:type="gramStart"/>
      <w:r>
        <w:rPr>
          <w:rFonts w:cstheme="minorHAnsi"/>
          <w:b/>
          <w:bCs/>
        </w:rPr>
        <w:t xml:space="preserve">outcome </w:t>
      </w:r>
      <w:r w:rsidRPr="00262F24">
        <w:rPr>
          <w:rFonts w:cstheme="minorHAnsi"/>
          <w:b/>
          <w:bCs/>
        </w:rPr>
        <w:t>based</w:t>
      </w:r>
      <w:proofErr w:type="gramEnd"/>
      <w:r w:rsidRPr="00262F24">
        <w:rPr>
          <w:rFonts w:cstheme="minorHAnsi"/>
          <w:b/>
          <w:bCs/>
        </w:rPr>
        <w:t xml:space="preserve"> approach, the Green Schedule is applicable to building landlords and tenants.  These standard provisions are fully editable to suit your building</w:t>
      </w:r>
      <w:r w:rsidR="0017295E">
        <w:rPr>
          <w:rFonts w:cstheme="minorHAnsi"/>
          <w:b/>
          <w:bCs/>
        </w:rPr>
        <w:t xml:space="preserve"> typology </w:t>
      </w:r>
      <w:r w:rsidRPr="00262F24">
        <w:rPr>
          <w:rFonts w:cstheme="minorHAnsi"/>
          <w:b/>
          <w:bCs/>
        </w:rPr>
        <w:t xml:space="preserve">or individual tenant’s context. </w:t>
      </w:r>
    </w:p>
    <w:p w14:paraId="3052C762" w14:textId="66365EB1" w:rsidR="00862744" w:rsidRPr="00262F24" w:rsidRDefault="00862744" w:rsidP="00862744">
      <w:pPr>
        <w:spacing w:before="120" w:after="120"/>
        <w:jc w:val="both"/>
        <w:rPr>
          <w:rFonts w:cstheme="minorHAnsi"/>
          <w:b/>
          <w:bCs/>
        </w:rPr>
      </w:pPr>
      <w:r w:rsidRPr="00123F90">
        <w:rPr>
          <w:rFonts w:cstheme="minorHAnsi"/>
        </w:rPr>
        <w:t>Th</w:t>
      </w:r>
      <w:r>
        <w:rPr>
          <w:rFonts w:cstheme="minorHAnsi"/>
        </w:rPr>
        <w:t>is</w:t>
      </w:r>
      <w:r w:rsidRPr="00123F90">
        <w:rPr>
          <w:rFonts w:cstheme="minorHAnsi"/>
        </w:rPr>
        <w:t xml:space="preserve"> schedule can form part of a memorandum of understanding, </w:t>
      </w:r>
      <w:proofErr w:type="gramStart"/>
      <w:r w:rsidRPr="00123F90">
        <w:rPr>
          <w:rFonts w:cstheme="minorHAnsi"/>
        </w:rPr>
        <w:t xml:space="preserve">or </w:t>
      </w:r>
      <w:r>
        <w:rPr>
          <w:rFonts w:cstheme="minorHAnsi"/>
        </w:rPr>
        <w:t xml:space="preserve"> part</w:t>
      </w:r>
      <w:proofErr w:type="gramEnd"/>
      <w:r>
        <w:rPr>
          <w:rFonts w:cstheme="minorHAnsi"/>
        </w:rPr>
        <w:t xml:space="preserve"> of the tenancy agreement between the building landlord and individual tenants,</w:t>
      </w:r>
      <w:r w:rsidRPr="00123F90">
        <w:rPr>
          <w:rFonts w:cstheme="minorHAnsi"/>
        </w:rPr>
        <w:t xml:space="preserve"> to ensure </w:t>
      </w:r>
      <w:r>
        <w:rPr>
          <w:rFonts w:cstheme="minorHAnsi"/>
        </w:rPr>
        <w:t xml:space="preserve">that the tenant’s actions and operations does not negatively affect the overall building’s sustainability performance and aspirations.  </w:t>
      </w:r>
      <w:r w:rsidRPr="00123F90">
        <w:rPr>
          <w:rFonts w:cstheme="minorHAnsi"/>
        </w:rPr>
        <w:t xml:space="preserve"> </w:t>
      </w:r>
      <w:r>
        <w:rPr>
          <w:rFonts w:cstheme="minorHAnsi"/>
        </w:rPr>
        <w:t>Mechanisms/ processes should be put in place by the building landlords for the management, validation and remedial actions/ penalties for non-compliance laid out in a transparent manner and agreed by the tenant</w:t>
      </w:r>
      <w:r w:rsidR="009633B7">
        <w:rPr>
          <w:rFonts w:cstheme="minorHAnsi"/>
        </w:rPr>
        <w:t>.</w:t>
      </w:r>
    </w:p>
    <w:p w14:paraId="3005F51F" w14:textId="33CDDC77" w:rsidR="006E1994" w:rsidRPr="00754967" w:rsidRDefault="006E1994" w:rsidP="00394A0B">
      <w:pPr>
        <w:spacing w:before="120" w:after="0"/>
        <w:jc w:val="both"/>
        <w:rPr>
          <w:rFonts w:cstheme="minorHAnsi"/>
        </w:rPr>
      </w:pPr>
      <w:r w:rsidRPr="00754967">
        <w:rPr>
          <w:rFonts w:cstheme="minorHAnsi"/>
        </w:rPr>
        <w:t xml:space="preserve">The Green Schedule should be read in conjunction with the relevant BCA Green Mark criteria. </w:t>
      </w:r>
    </w:p>
    <w:p w14:paraId="6F997BAD" w14:textId="77777777" w:rsidR="006E1994" w:rsidRPr="00754967" w:rsidRDefault="006E1994" w:rsidP="006E1994">
      <w:pPr>
        <w:spacing w:before="120" w:after="120"/>
        <w:jc w:val="right"/>
        <w:rPr>
          <w:rFonts w:cstheme="minorHAnsi"/>
        </w:rPr>
      </w:pPr>
      <w:r w:rsidRPr="00754967">
        <w:rPr>
          <w:rFonts w:cstheme="minorHAnsi"/>
          <w:noProof/>
          <w:lang w:eastAsia="en-GB"/>
        </w:rPr>
        <w:drawing>
          <wp:inline distT="0" distB="0" distL="0" distR="0" wp14:anchorId="17F28CC7" wp14:editId="628680E0">
            <wp:extent cx="1162050" cy="1162050"/>
            <wp:effectExtent l="0" t="0" r="0" b="0"/>
            <wp:docPr id="21514" name="Picture 3" descr="g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4" name="Picture 3" descr="gm1"/>
                    <pic:cNvPicPr>
                      <a:picLocks noChangeAspect="1" noChangeArrowheads="1"/>
                    </pic:cNvPicPr>
                  </pic:nvPicPr>
                  <pic:blipFill>
                    <a:blip r:embed="rId13" cstate="screen"/>
                    <a:srcRect/>
                    <a:stretch>
                      <a:fillRect/>
                    </a:stretch>
                  </pic:blipFill>
                  <pic:spPr bwMode="auto">
                    <a:xfrm>
                      <a:off x="0" y="0"/>
                      <a:ext cx="1163194" cy="1163194"/>
                    </a:xfrm>
                    <a:prstGeom prst="rect">
                      <a:avLst/>
                    </a:prstGeom>
                    <a:noFill/>
                    <a:ln w="9525">
                      <a:noFill/>
                      <a:miter lim="800000"/>
                      <a:headEnd/>
                      <a:tailEnd/>
                    </a:ln>
                  </pic:spPr>
                </pic:pic>
              </a:graphicData>
            </a:graphic>
          </wp:inline>
        </w:drawing>
      </w:r>
    </w:p>
    <w:p w14:paraId="6E2A9EBF" w14:textId="77777777" w:rsidR="006E1994" w:rsidRPr="00754967" w:rsidRDefault="006E1994" w:rsidP="00394A0B">
      <w:pPr>
        <w:spacing w:after="60"/>
        <w:jc w:val="right"/>
        <w:rPr>
          <w:rFonts w:cstheme="minorHAnsi"/>
          <w:sz w:val="18"/>
          <w:szCs w:val="20"/>
        </w:rPr>
      </w:pPr>
      <w:r w:rsidRPr="00754967">
        <w:rPr>
          <w:rFonts w:cstheme="minorHAnsi"/>
          <w:sz w:val="18"/>
          <w:szCs w:val="20"/>
        </w:rPr>
        <w:t>BCA Green Mark, and BCA Green Mark logo © Building and Cons</w:t>
      </w:r>
      <w:r w:rsidR="003541B9">
        <w:rPr>
          <w:rFonts w:cstheme="minorHAnsi"/>
          <w:sz w:val="18"/>
          <w:szCs w:val="20"/>
        </w:rPr>
        <w:t xml:space="preserve">truction </w:t>
      </w:r>
      <w:r w:rsidRPr="00754967">
        <w:rPr>
          <w:rFonts w:cstheme="minorHAnsi"/>
          <w:sz w:val="18"/>
          <w:szCs w:val="20"/>
        </w:rPr>
        <w:t xml:space="preserve">Authority. </w:t>
      </w:r>
    </w:p>
    <w:p w14:paraId="7B1B7016" w14:textId="17BB7EEE" w:rsidR="006E1994" w:rsidRPr="0014360E" w:rsidRDefault="006E1994" w:rsidP="00394A0B">
      <w:pPr>
        <w:spacing w:before="60" w:after="0" w:line="264" w:lineRule="auto"/>
        <w:jc w:val="both"/>
        <w:rPr>
          <w:rFonts w:ascii="Cambria" w:hAnsi="Cambria"/>
          <w:i/>
        </w:rPr>
      </w:pPr>
      <w:r>
        <w:rPr>
          <w:rFonts w:ascii="Cambria" w:hAnsi="Cambria"/>
          <w:sz w:val="52"/>
          <w:szCs w:val="52"/>
        </w:rPr>
        <w:br w:type="page"/>
      </w:r>
    </w:p>
    <w:p w14:paraId="66A800FD" w14:textId="2AF69620" w:rsidR="00DF7D5F" w:rsidRDefault="00DF7D5F">
      <w:pPr>
        <w:rPr>
          <w:rFonts w:ascii="Cambria" w:hAnsi="Cambria"/>
          <w:sz w:val="52"/>
          <w:szCs w:val="52"/>
        </w:rPr>
      </w:pPr>
      <w:r w:rsidRPr="00394A0B">
        <w:rPr>
          <w:rFonts w:ascii="Calibri Light" w:hAnsi="Calibri Light" w:cs="Calibri Light"/>
          <w:sz w:val="52"/>
          <w:szCs w:val="52"/>
        </w:rPr>
        <w:lastRenderedPageBreak/>
        <w:t xml:space="preserve">Green </w:t>
      </w:r>
      <w:r w:rsidR="000334B1" w:rsidRPr="00394A0B">
        <w:rPr>
          <w:rFonts w:ascii="Calibri Light" w:hAnsi="Calibri Light" w:cs="Calibri Light"/>
          <w:sz w:val="52"/>
          <w:szCs w:val="52"/>
        </w:rPr>
        <w:t>Schedule</w:t>
      </w:r>
      <w:r w:rsidRPr="00DF7D5F">
        <w:rPr>
          <w:rFonts w:ascii="Cambria" w:hAnsi="Cambria"/>
          <w:sz w:val="52"/>
          <w:szCs w:val="52"/>
        </w:rPr>
        <w:t>:</w:t>
      </w:r>
    </w:p>
    <w:p w14:paraId="563AD3A2" w14:textId="1112C2C5" w:rsidR="000334B1" w:rsidRDefault="00CE7463">
      <w:pPr>
        <w:rPr>
          <w:rFonts w:ascii="Cambria" w:hAnsi="Cambria"/>
          <w:b/>
          <w:sz w:val="28"/>
          <w:szCs w:val="28"/>
        </w:rPr>
      </w:pPr>
      <w:r>
        <w:rPr>
          <w:rFonts w:ascii="Cambria" w:hAnsi="Cambria"/>
          <w:b/>
          <w:noProof/>
          <w:sz w:val="28"/>
          <w:szCs w:val="28"/>
          <w:lang w:eastAsia="en-GB"/>
        </w:rPr>
        <mc:AlternateContent>
          <mc:Choice Requires="wps">
            <w:drawing>
              <wp:inline distT="0" distB="0" distL="0" distR="0" wp14:anchorId="78B9477D" wp14:editId="50B4B46E">
                <wp:extent cx="5838825" cy="1094105"/>
                <wp:effectExtent l="0" t="0" r="9525"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94105"/>
                        </a:xfrm>
                        <a:prstGeom prst="rect">
                          <a:avLst/>
                        </a:prstGeom>
                        <a:solidFill>
                          <a:srgbClr val="002060"/>
                        </a:solidFill>
                        <a:ln>
                          <a:noFill/>
                        </a:ln>
                      </wps:spPr>
                      <wps:txbx>
                        <w:txbxContent>
                          <w:p w14:paraId="37BCE056" w14:textId="273A5FC3" w:rsidR="00672AB7" w:rsidRPr="00B2368F" w:rsidRDefault="00672AB7" w:rsidP="00B2368F">
                            <w:pPr>
                              <w:jc w:val="both"/>
                              <w:rPr>
                                <w:b/>
                                <w:i/>
                                <w:color w:val="FFFFFF" w:themeColor="background1"/>
                              </w:rPr>
                            </w:pPr>
                            <w:r w:rsidRPr="00EA2D92">
                              <w:rPr>
                                <w:b/>
                                <w:color w:val="FFFFFF" w:themeColor="background1"/>
                              </w:rPr>
                              <w:t xml:space="preserve">This schedule is provided for Landlords and tenants to </w:t>
                            </w:r>
                            <w:r w:rsidRPr="00EA2D92">
                              <w:rPr>
                                <w:b/>
                                <w:color w:val="FFFFFF" w:themeColor="background1"/>
                                <w:u w:val="single"/>
                              </w:rPr>
                              <w:t>edit the performance levels and clause</w:t>
                            </w:r>
                            <w:r>
                              <w:rPr>
                                <w:b/>
                                <w:color w:val="FFFFFF" w:themeColor="background1"/>
                                <w:u w:val="single"/>
                              </w:rPr>
                              <w:t>s and</w:t>
                            </w:r>
                            <w:r w:rsidRPr="00EA2D92">
                              <w:rPr>
                                <w:b/>
                                <w:color w:val="FFFFFF" w:themeColor="background1"/>
                                <w:u w:val="single"/>
                              </w:rPr>
                              <w:t xml:space="preserve"> content as they see fit</w:t>
                            </w:r>
                            <w:r w:rsidRPr="00EA2D92">
                              <w:rPr>
                                <w:b/>
                                <w:color w:val="FFFFFF" w:themeColor="background1"/>
                              </w:rPr>
                              <w:t xml:space="preserve"> based on their individual contexts. Where gr</w:t>
                            </w:r>
                            <w:r w:rsidR="000727D5">
                              <w:rPr>
                                <w:b/>
                                <w:color w:val="FFFFFF" w:themeColor="background1"/>
                              </w:rPr>
                              <w:t>ey</w:t>
                            </w:r>
                            <w:r w:rsidRPr="00EA2D92">
                              <w:rPr>
                                <w:b/>
                                <w:color w:val="FFFFFF" w:themeColor="background1"/>
                              </w:rPr>
                              <w:t xml:space="preserve"> highlighting occurs in the clause this is for the user to edit or insert their own values.  </w:t>
                            </w:r>
                            <w:r>
                              <w:rPr>
                                <w:b/>
                                <w:color w:val="FFFFFF" w:themeColor="background1"/>
                              </w:rPr>
                              <w:t>P</w:t>
                            </w:r>
                            <w:r w:rsidRPr="00EA2D92">
                              <w:rPr>
                                <w:b/>
                                <w:color w:val="FFFFFF" w:themeColor="background1"/>
                              </w:rPr>
                              <w:t xml:space="preserve">arties are encouraged to adopt as many clauses as possible to substantially improve the environmental performance of the building in a </w:t>
                            </w:r>
                            <w:r w:rsidRPr="00EA2D92">
                              <w:rPr>
                                <w:b/>
                                <w:color w:val="FFFFFF" w:themeColor="background1"/>
                                <w:u w:val="single"/>
                              </w:rPr>
                              <w:t>collaborative manner</w:t>
                            </w:r>
                            <w:r w:rsidRPr="00EA2D92">
                              <w:rPr>
                                <w:b/>
                                <w:color w:val="FFFFFF" w:themeColor="background1"/>
                              </w:rPr>
                              <w:t>.</w:t>
                            </w:r>
                            <w:r w:rsidRPr="00B2368F">
                              <w:rPr>
                                <w:b/>
                                <w:i/>
                                <w:color w:val="FFFFFF" w:themeColor="background1"/>
                              </w:rPr>
                              <w:t xml:space="preserve"> </w:t>
                            </w:r>
                          </w:p>
                          <w:p w14:paraId="63F724A6" w14:textId="77777777" w:rsidR="00672AB7" w:rsidRDefault="00672AB7"/>
                        </w:txbxContent>
                      </wps:txbx>
                      <wps:bodyPr rot="0" vert="horz" wrap="square" lIns="91440" tIns="45720" rIns="91440" bIns="45720" anchor="t" anchorCtr="0" upright="1">
                        <a:noAutofit/>
                      </wps:bodyPr>
                    </wps:wsp>
                  </a:graphicData>
                </a:graphic>
              </wp:inline>
            </w:drawing>
          </mc:Choice>
          <mc:Fallback>
            <w:pict>
              <v:rect w14:anchorId="78B9477D" id="Rectangle 2" o:spid="_x0000_s1026" style="width:459.75pt;height:8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" fillcolor="#002060" stroked="f">
                <v:textbox>
                  <w:txbxContent>
                    <w:p w14:paraId="37BCE056" w14:textId="273A5FC3" w:rsidR="00672AB7" w:rsidRPr="00B2368F" w:rsidRDefault="00672AB7" w:rsidP="00B2368F">
                      <w:pPr>
                        <w:jc w:val="both"/>
                        <w:rPr>
                          <w:b/>
                          <w:i/>
                          <w:color w:val="FFFFFF" w:themeColor="background1"/>
                        </w:rPr>
                      </w:pPr>
                      <w:r w:rsidRPr="00EA2D92">
                        <w:rPr>
                          <w:b/>
                          <w:color w:val="FFFFFF" w:themeColor="background1"/>
                        </w:rPr>
                        <w:t xml:space="preserve">This schedule is provided for Landlords and tenants to </w:t>
                      </w:r>
                      <w:r w:rsidRPr="00EA2D92">
                        <w:rPr>
                          <w:b/>
                          <w:color w:val="FFFFFF" w:themeColor="background1"/>
                          <w:u w:val="single"/>
                        </w:rPr>
                        <w:t>edit the performance levels and clause</w:t>
                      </w:r>
                      <w:r>
                        <w:rPr>
                          <w:b/>
                          <w:color w:val="FFFFFF" w:themeColor="background1"/>
                          <w:u w:val="single"/>
                        </w:rPr>
                        <w:t>s and</w:t>
                      </w:r>
                      <w:r w:rsidRPr="00EA2D92">
                        <w:rPr>
                          <w:b/>
                          <w:color w:val="FFFFFF" w:themeColor="background1"/>
                          <w:u w:val="single"/>
                        </w:rPr>
                        <w:t xml:space="preserve"> content as they see fit</w:t>
                      </w:r>
                      <w:r w:rsidRPr="00EA2D92">
                        <w:rPr>
                          <w:b/>
                          <w:color w:val="FFFFFF" w:themeColor="background1"/>
                        </w:rPr>
                        <w:t xml:space="preserve"> based on their individual contexts. Where gr</w:t>
                      </w:r>
                      <w:r w:rsidR="000727D5">
                        <w:rPr>
                          <w:b/>
                          <w:color w:val="FFFFFF" w:themeColor="background1"/>
                        </w:rPr>
                        <w:t>ey</w:t>
                      </w:r>
                      <w:r w:rsidRPr="00EA2D92">
                        <w:rPr>
                          <w:b/>
                          <w:color w:val="FFFFFF" w:themeColor="background1"/>
                        </w:rPr>
                        <w:t xml:space="preserve"> highlighting occurs in the clause this is for the user to edit or insert their own values.  </w:t>
                      </w:r>
                      <w:r>
                        <w:rPr>
                          <w:b/>
                          <w:color w:val="FFFFFF" w:themeColor="background1"/>
                        </w:rPr>
                        <w:t>P</w:t>
                      </w:r>
                      <w:r w:rsidRPr="00EA2D92">
                        <w:rPr>
                          <w:b/>
                          <w:color w:val="FFFFFF" w:themeColor="background1"/>
                        </w:rPr>
                        <w:t xml:space="preserve">arties are encouraged to adopt as many clauses as possible to substantially improve the environmental performance of the building in a </w:t>
                      </w:r>
                      <w:r w:rsidRPr="00EA2D92">
                        <w:rPr>
                          <w:b/>
                          <w:color w:val="FFFFFF" w:themeColor="background1"/>
                          <w:u w:val="single"/>
                        </w:rPr>
                        <w:t>collaborative manner</w:t>
                      </w:r>
                      <w:r w:rsidRPr="00EA2D92">
                        <w:rPr>
                          <w:b/>
                          <w:color w:val="FFFFFF" w:themeColor="background1"/>
                        </w:rPr>
                        <w:t>.</w:t>
                      </w:r>
                      <w:r w:rsidRPr="00B2368F">
                        <w:rPr>
                          <w:b/>
                          <w:i/>
                          <w:color w:val="FFFFFF" w:themeColor="background1"/>
                        </w:rPr>
                        <w:t xml:space="preserve"> </w:t>
                      </w:r>
                    </w:p>
                    <w:p w14:paraId="63F724A6" w14:textId="77777777" w:rsidR="00672AB7" w:rsidRDefault="00672AB7"/>
                  </w:txbxContent>
                </v:textbox>
                <w10:anchorlock/>
              </v:rect>
            </w:pict>
          </mc:Fallback>
        </mc:AlternateContent>
      </w:r>
    </w:p>
    <w:p w14:paraId="29D5D302" w14:textId="77777777" w:rsidR="00487DE5" w:rsidRPr="00F44EC0" w:rsidRDefault="00487DE5" w:rsidP="00394A0B">
      <w:pPr>
        <w:pStyle w:val="Heading1"/>
        <w:rPr>
          <w:rFonts w:cs="Calibri Light"/>
          <w:bCs/>
        </w:rPr>
      </w:pPr>
      <w:bookmarkStart w:id="2" w:name="_Toc73527096"/>
      <w:r w:rsidRPr="00F44EC0">
        <w:rPr>
          <w:rFonts w:cs="Calibri Light"/>
          <w:bCs/>
        </w:rPr>
        <w:t>General:</w:t>
      </w:r>
      <w:bookmarkEnd w:id="2"/>
    </w:p>
    <w:p w14:paraId="0B0CAF73" w14:textId="50EA0917" w:rsidR="00487DE5" w:rsidRDefault="00487DE5" w:rsidP="00587942">
      <w:pPr>
        <w:jc w:val="both"/>
      </w:pPr>
      <w:r>
        <w:t>The landlord and tenant(s) are committed to manage</w:t>
      </w:r>
      <w:r w:rsidR="00453F93">
        <w:t>,</w:t>
      </w:r>
      <w:r>
        <w:t xml:space="preserve"> operate and occupy the building and premises to promote envi</w:t>
      </w:r>
      <w:r w:rsidR="002B1F7A">
        <w:t>ronmental sustainability,</w:t>
      </w:r>
      <w:r>
        <w:t xml:space="preserve"> </w:t>
      </w:r>
      <w:r w:rsidR="002B1F7A">
        <w:t>through energy efficiency improvements</w:t>
      </w:r>
      <w:r>
        <w:t xml:space="preserve">, positive behavioural changes and </w:t>
      </w:r>
      <w:r w:rsidR="002B1F7A">
        <w:t>healthy practices.</w:t>
      </w:r>
      <w:r w:rsidR="00542D90">
        <w:t xml:space="preserve"> This schedule forms a &lt;</w:t>
      </w:r>
      <w:r w:rsidR="00542D90" w:rsidRPr="000727D5">
        <w:rPr>
          <w:i/>
          <w:highlight w:val="lightGray"/>
        </w:rPr>
        <w:t xml:space="preserve">memorandum of understanding / </w:t>
      </w:r>
      <w:r w:rsidR="00507E2D" w:rsidRPr="000727D5">
        <w:rPr>
          <w:i/>
          <w:highlight w:val="lightGray"/>
        </w:rPr>
        <w:t>mutual performance and disclosure agreement</w:t>
      </w:r>
      <w:r w:rsidR="00542D90" w:rsidRPr="000727D5">
        <w:rPr>
          <w:i/>
          <w:highlight w:val="lightGray"/>
        </w:rPr>
        <w:t xml:space="preserve"> / part of the lease agreement with penalties for non-conformity</w:t>
      </w:r>
      <w:r w:rsidR="00542D90">
        <w:rPr>
          <w:i/>
        </w:rPr>
        <w:t>*</w:t>
      </w:r>
      <w:r w:rsidR="00542D90" w:rsidRPr="00542D90">
        <w:rPr>
          <w:i/>
          <w:vertAlign w:val="superscript"/>
        </w:rPr>
        <w:t>1</w:t>
      </w:r>
      <w:r w:rsidR="00542D90">
        <w:t xml:space="preserve"> &gt;</w:t>
      </w:r>
      <w:r w:rsidR="003B1F6D">
        <w:t>.</w:t>
      </w:r>
    </w:p>
    <w:p w14:paraId="00B37957" w14:textId="63A2D7A8" w:rsidR="00542D90" w:rsidRPr="00487DE5" w:rsidRDefault="00542D90" w:rsidP="00587942">
      <w:pPr>
        <w:jc w:val="both"/>
      </w:pPr>
      <w:r w:rsidRPr="002B1F7A">
        <w:rPr>
          <w:i/>
          <w:sz w:val="20"/>
        </w:rPr>
        <w:t>*</w:t>
      </w:r>
      <w:r w:rsidRPr="002B1F7A">
        <w:rPr>
          <w:i/>
          <w:sz w:val="20"/>
          <w:vertAlign w:val="superscript"/>
        </w:rPr>
        <w:t>1</w:t>
      </w:r>
      <w:r w:rsidR="00507E2D">
        <w:rPr>
          <w:i/>
          <w:sz w:val="20"/>
        </w:rPr>
        <w:t>Select one</w:t>
      </w:r>
      <w:r w:rsidR="00B26FDD">
        <w:rPr>
          <w:i/>
          <w:sz w:val="20"/>
        </w:rPr>
        <w:t>.</w:t>
      </w:r>
    </w:p>
    <w:p w14:paraId="0042B8AE" w14:textId="77777777" w:rsidR="00DF7D5F" w:rsidRPr="00AE0C6E" w:rsidRDefault="00DF7D5F" w:rsidP="00394A0B">
      <w:pPr>
        <w:pStyle w:val="Heading1"/>
        <w:rPr>
          <w:rFonts w:cs="Calibri Light"/>
          <w:bCs/>
        </w:rPr>
      </w:pPr>
      <w:bookmarkStart w:id="3" w:name="_Toc73527097"/>
      <w:r w:rsidRPr="00F44EC0">
        <w:rPr>
          <w:rFonts w:cs="Calibri Light"/>
          <w:bCs/>
        </w:rPr>
        <w:t xml:space="preserve">Section A: </w:t>
      </w:r>
      <w:r w:rsidR="000334B1" w:rsidRPr="00332721">
        <w:rPr>
          <w:rFonts w:cs="Calibri Light"/>
          <w:bCs/>
        </w:rPr>
        <w:t>Suggested Minimum Standards (Landlord)</w:t>
      </w:r>
      <w:bookmarkEnd w:id="3"/>
      <w:r w:rsidR="00891478" w:rsidRPr="00D44FAF">
        <w:rPr>
          <w:rFonts w:cs="Calibri Light"/>
          <w:bCs/>
        </w:rPr>
        <w:t xml:space="preserve"> </w:t>
      </w:r>
    </w:p>
    <w:p w14:paraId="1AB395ED" w14:textId="77777777" w:rsidR="000334B1" w:rsidRDefault="000334B1" w:rsidP="00587942">
      <w:pPr>
        <w:jc w:val="both"/>
        <w:rPr>
          <w:rFonts w:ascii="Cambria" w:hAnsi="Cambria"/>
          <w:b/>
          <w:sz w:val="28"/>
          <w:szCs w:val="28"/>
        </w:rPr>
      </w:pPr>
      <w:r>
        <w:rPr>
          <w:i/>
        </w:rPr>
        <w:t xml:space="preserve">This section details the key ingredients that should be considered as a part of the green lease adoption. Performance requirements should be tailored for the building context and reached collaboratively with the relevant </w:t>
      </w:r>
      <w:r w:rsidR="00B2368F">
        <w:rPr>
          <w:i/>
        </w:rPr>
        <w:t>stakeholders</w:t>
      </w:r>
      <w:r>
        <w:rPr>
          <w:i/>
        </w:rPr>
        <w:t xml:space="preserve">. </w:t>
      </w:r>
      <w:r w:rsidR="006532B2">
        <w:rPr>
          <w:i/>
        </w:rPr>
        <w:t xml:space="preserve">Reference should be paid to ‘Section E’ of this schedule. There will </w:t>
      </w:r>
      <w:r w:rsidR="006532B2" w:rsidRPr="006532B2">
        <w:rPr>
          <w:i/>
          <w:u w:val="single"/>
        </w:rPr>
        <w:t>need to be a form of Building Management committee</w:t>
      </w:r>
      <w:r w:rsidR="006532B2">
        <w:rPr>
          <w:i/>
        </w:rPr>
        <w:t xml:space="preserve"> – however the extent of this will vary dependant on building and tenant mix.</w:t>
      </w:r>
    </w:p>
    <w:p w14:paraId="768B523D" w14:textId="77777777" w:rsidR="00DF7D5F" w:rsidRPr="00394A0B" w:rsidRDefault="004F2544" w:rsidP="00394A0B">
      <w:pPr>
        <w:pStyle w:val="Heading2"/>
      </w:pPr>
      <w:r w:rsidRPr="00394A0B">
        <w:t xml:space="preserve">A1 </w:t>
      </w:r>
      <w:r w:rsidR="00DF7D5F" w:rsidRPr="00394A0B">
        <w:t>Certification:</w:t>
      </w:r>
    </w:p>
    <w:p w14:paraId="59DED7E2" w14:textId="629587B2" w:rsidR="004F2544" w:rsidRDefault="00DF7D5F" w:rsidP="00587942">
      <w:pPr>
        <w:pStyle w:val="ListParagraph"/>
        <w:numPr>
          <w:ilvl w:val="0"/>
          <w:numId w:val="2"/>
        </w:numPr>
        <w:jc w:val="both"/>
      </w:pPr>
      <w:r w:rsidRPr="00DF7D5F">
        <w:t>The Tenant agrees that the Landlord shall be entitled to operate, manage and maintain the Building so as to</w:t>
      </w:r>
      <w:r w:rsidR="002B1F7A">
        <w:t xml:space="preserve"> </w:t>
      </w:r>
      <w:r w:rsidR="002B1F7A" w:rsidRPr="002B1F7A">
        <w:t>&lt;</w:t>
      </w:r>
      <w:r w:rsidR="002B1F7A" w:rsidRPr="000727D5">
        <w:rPr>
          <w:i/>
          <w:highlight w:val="lightGray"/>
        </w:rPr>
        <w:t>achieve /</w:t>
      </w:r>
      <w:r w:rsidRPr="000727D5">
        <w:rPr>
          <w:i/>
          <w:highlight w:val="lightGray"/>
        </w:rPr>
        <w:t xml:space="preserve"> retain</w:t>
      </w:r>
      <w:r w:rsidR="002B1F7A" w:rsidRPr="002B1F7A">
        <w:t>&gt;</w:t>
      </w:r>
      <w:r w:rsidRPr="00DF7D5F">
        <w:t xml:space="preserve"> at least</w:t>
      </w:r>
      <w:r w:rsidR="004F2544">
        <w:t xml:space="preserve"> the BCA Green Mark </w:t>
      </w:r>
      <w:r w:rsidR="00936FCF" w:rsidRPr="00394A0B">
        <w:t>&lt;</w:t>
      </w:r>
      <w:r w:rsidR="00936FCF" w:rsidRPr="000727D5">
        <w:rPr>
          <w:i/>
          <w:highlight w:val="lightGray"/>
        </w:rPr>
        <w:t>Insert Rating</w:t>
      </w:r>
      <w:r w:rsidR="002B1F7A" w:rsidRPr="00394A0B">
        <w:rPr>
          <w:i/>
        </w:rPr>
        <w:t>*</w:t>
      </w:r>
      <w:r w:rsidR="00542D90" w:rsidRPr="00394A0B">
        <w:rPr>
          <w:i/>
          <w:vertAlign w:val="superscript"/>
        </w:rPr>
        <w:t>2</w:t>
      </w:r>
      <w:r w:rsidR="00936FCF" w:rsidRPr="00394A0B">
        <w:t>&gt;</w:t>
      </w:r>
      <w:r w:rsidR="004F2544">
        <w:t xml:space="preserve"> for </w:t>
      </w:r>
      <w:proofErr w:type="spellStart"/>
      <w:proofErr w:type="gramStart"/>
      <w:r w:rsidR="004F2544">
        <w:t>Non Residential</w:t>
      </w:r>
      <w:proofErr w:type="spellEnd"/>
      <w:proofErr w:type="gramEnd"/>
      <w:r w:rsidR="004F2544">
        <w:t xml:space="preserve"> Buildings</w:t>
      </w:r>
      <w:r w:rsidR="00C44B6F">
        <w:t xml:space="preserve"> </w:t>
      </w:r>
      <w:r w:rsidR="004F2544">
        <w:t xml:space="preserve">or the future applicable BCA Green Mark certification standard. The landlord commits to maintain this level of certification </w:t>
      </w:r>
      <w:r w:rsidR="002B1F7A" w:rsidRPr="00394A0B">
        <w:t>&lt;</w:t>
      </w:r>
      <w:r w:rsidR="002B1F7A" w:rsidRPr="000727D5">
        <w:rPr>
          <w:i/>
          <w:highlight w:val="lightGray"/>
        </w:rPr>
        <w:t>during the entire lease period / certification period / other</w:t>
      </w:r>
      <w:r w:rsidR="002663B7" w:rsidRPr="000727D5">
        <w:rPr>
          <w:i/>
          <w:highlight w:val="lightGray"/>
        </w:rPr>
        <w:t xml:space="preserve"> please specify</w:t>
      </w:r>
      <w:r w:rsidR="002B1F7A">
        <w:t>&gt;</w:t>
      </w:r>
      <w:r w:rsidR="003B1F6D">
        <w:t>.</w:t>
      </w:r>
    </w:p>
    <w:p w14:paraId="4BE8BCBC" w14:textId="1C9B9D8E" w:rsidR="006477C6" w:rsidRDefault="003A6869" w:rsidP="006477C6">
      <w:pPr>
        <w:pStyle w:val="ListParagraph"/>
        <w:jc w:val="both"/>
        <w:rPr>
          <w:i/>
          <w:sz w:val="20"/>
        </w:rPr>
      </w:pPr>
      <w:r w:rsidRPr="00DD2E97">
        <w:rPr>
          <w:i/>
          <w:sz w:val="20"/>
        </w:rPr>
        <w:t>*</w:t>
      </w:r>
      <w:r w:rsidRPr="00DD2E97">
        <w:rPr>
          <w:i/>
          <w:sz w:val="20"/>
          <w:vertAlign w:val="superscript"/>
        </w:rPr>
        <w:t>2</w:t>
      </w:r>
      <w:r w:rsidRPr="00DD2E97">
        <w:rPr>
          <w:i/>
          <w:sz w:val="20"/>
        </w:rPr>
        <w:t>For public sector projects</w:t>
      </w:r>
      <w:r w:rsidR="00285378" w:rsidRPr="00DD2E97">
        <w:rPr>
          <w:i/>
          <w:sz w:val="20"/>
        </w:rPr>
        <w:t>,</w:t>
      </w:r>
      <w:r w:rsidRPr="00DD2E97">
        <w:rPr>
          <w:i/>
          <w:sz w:val="20"/>
        </w:rPr>
        <w:t xml:space="preserve"> please refer to</w:t>
      </w:r>
      <w:r w:rsidR="00303E3B" w:rsidRPr="00DD2E97">
        <w:rPr>
          <w:i/>
          <w:sz w:val="20"/>
        </w:rPr>
        <w:t xml:space="preserve"> the most recent FCM issued by MOF which details the minimum</w:t>
      </w:r>
      <w:r w:rsidR="00303E3B">
        <w:rPr>
          <w:i/>
          <w:sz w:val="20"/>
        </w:rPr>
        <w:t xml:space="preserve"> environmental performance under </w:t>
      </w:r>
      <w:r w:rsidR="003313B8">
        <w:rPr>
          <w:i/>
          <w:sz w:val="20"/>
        </w:rPr>
        <w:t>GreenGov.SG.</w:t>
      </w:r>
    </w:p>
    <w:p w14:paraId="550CDE54" w14:textId="0B237934" w:rsidR="003A6869" w:rsidRPr="00394A0B" w:rsidRDefault="00435700" w:rsidP="00394A0B">
      <w:pPr>
        <w:pStyle w:val="ListParagraph"/>
        <w:numPr>
          <w:ilvl w:val="0"/>
          <w:numId w:val="2"/>
        </w:numPr>
        <w:jc w:val="both"/>
        <w:rPr>
          <w:i/>
          <w:sz w:val="20"/>
        </w:rPr>
      </w:pPr>
      <w:r>
        <w:t xml:space="preserve">To </w:t>
      </w:r>
      <w:r w:rsidRPr="002B1F7A">
        <w:t>&lt;</w:t>
      </w:r>
      <w:r w:rsidRPr="000727D5">
        <w:rPr>
          <w:i/>
          <w:highlight w:val="lightGray"/>
        </w:rPr>
        <w:t>achieve / maintain</w:t>
      </w:r>
      <w:r w:rsidRPr="002B1F7A">
        <w:t>&gt;</w:t>
      </w:r>
      <w:r>
        <w:t xml:space="preserve"> the Public Utilities Board’s </w:t>
      </w:r>
      <w:r w:rsidRPr="00483569">
        <w:t xml:space="preserve">(PUB) </w:t>
      </w:r>
      <w:r w:rsidRPr="00E80FC8">
        <w:t xml:space="preserve">Water Efficient Building </w:t>
      </w:r>
      <w:r w:rsidR="00B37CD6" w:rsidRPr="00E80FC8">
        <w:t xml:space="preserve">(WEB) (Basic) </w:t>
      </w:r>
      <w:r w:rsidRPr="00E80FC8">
        <w:t>Certification</w:t>
      </w:r>
      <w:r w:rsidR="00D413BA">
        <w:t>.</w:t>
      </w:r>
    </w:p>
    <w:p w14:paraId="69BA2590" w14:textId="56C7DE47" w:rsidR="003A6869" w:rsidRDefault="003A6869" w:rsidP="00587942">
      <w:pPr>
        <w:pStyle w:val="ListParagraph"/>
        <w:numPr>
          <w:ilvl w:val="0"/>
          <w:numId w:val="2"/>
        </w:numPr>
        <w:jc w:val="both"/>
      </w:pPr>
      <w:r>
        <w:rPr>
          <w:b/>
        </w:rPr>
        <w:t>[</w:t>
      </w:r>
      <w:r w:rsidR="00D413BA">
        <w:rPr>
          <w:b/>
        </w:rPr>
        <w:t>S</w:t>
      </w:r>
      <w:r>
        <w:rPr>
          <w:b/>
        </w:rPr>
        <w:t xml:space="preserve">uggested] </w:t>
      </w:r>
      <w:r>
        <w:t>The building &lt;</w:t>
      </w:r>
      <w:r w:rsidRPr="000727D5">
        <w:rPr>
          <w:i/>
          <w:highlight w:val="lightGray"/>
        </w:rPr>
        <w:t>operator</w:t>
      </w:r>
      <w:r w:rsidRPr="000727D5">
        <w:rPr>
          <w:highlight w:val="lightGray"/>
        </w:rPr>
        <w:t xml:space="preserve"> or </w:t>
      </w:r>
      <w:r w:rsidRPr="000727D5">
        <w:rPr>
          <w:i/>
          <w:highlight w:val="lightGray"/>
        </w:rPr>
        <w:t>landlord</w:t>
      </w:r>
      <w:r w:rsidR="009F0743">
        <w:t>&gt; to be ISO 14</w:t>
      </w:r>
      <w:r w:rsidR="009F0743" w:rsidRPr="00483569">
        <w:t>001 or ISO 50001 and</w:t>
      </w:r>
      <w:r w:rsidR="0072534D" w:rsidRPr="00E80FC8">
        <w:t xml:space="preserve"> ISO 46001: 2019 Water Efficiency Management Systems</w:t>
      </w:r>
      <w:r w:rsidR="0072534D" w:rsidRPr="00394A0B" w:rsidDel="0072534D">
        <w:t xml:space="preserve"> </w:t>
      </w:r>
      <w:r w:rsidRPr="00E80FC8">
        <w:t>Certified</w:t>
      </w:r>
      <w:r w:rsidR="00D413BA">
        <w:t>.</w:t>
      </w:r>
    </w:p>
    <w:p w14:paraId="253FF87B" w14:textId="77777777" w:rsidR="003A6869" w:rsidRDefault="003A6869" w:rsidP="00587942">
      <w:pPr>
        <w:jc w:val="both"/>
        <w:rPr>
          <w:rFonts w:ascii="Cambria" w:hAnsi="Cambria"/>
          <w:sz w:val="24"/>
          <w:u w:val="single"/>
        </w:rPr>
      </w:pPr>
    </w:p>
    <w:p w14:paraId="222C4121" w14:textId="77777777" w:rsidR="00C44B6F" w:rsidRPr="00394A0B" w:rsidRDefault="00C44B6F" w:rsidP="00394A0B">
      <w:pPr>
        <w:pStyle w:val="Heading2"/>
      </w:pPr>
      <w:r w:rsidRPr="00394A0B">
        <w:lastRenderedPageBreak/>
        <w:t>A2 Management o</w:t>
      </w:r>
      <w:r w:rsidR="00A80BBF" w:rsidRPr="00394A0B">
        <w:t>f Energy Use</w:t>
      </w:r>
    </w:p>
    <w:p w14:paraId="16CB5C8B" w14:textId="44A41D4A" w:rsidR="00C44B6F" w:rsidRDefault="00C44B6F" w:rsidP="00587942">
      <w:pPr>
        <w:pStyle w:val="ListParagraph"/>
        <w:numPr>
          <w:ilvl w:val="0"/>
          <w:numId w:val="15"/>
        </w:numPr>
        <w:jc w:val="both"/>
      </w:pPr>
      <w:r>
        <w:t xml:space="preserve">Monitoring and reporting of base building consumption with targets set for continuous improvement </w:t>
      </w:r>
      <w:r w:rsidRPr="00394A0B">
        <w:t>&lt;</w:t>
      </w:r>
      <w:r w:rsidRPr="000727D5">
        <w:rPr>
          <w:i/>
          <w:highlight w:val="lightGray"/>
        </w:rPr>
        <w:t>x kWh</w:t>
      </w:r>
      <w:r w:rsidR="00B608A8" w:rsidRPr="000727D5">
        <w:rPr>
          <w:i/>
          <w:highlight w:val="lightGray"/>
        </w:rPr>
        <w:t>*</w:t>
      </w:r>
      <w:r w:rsidR="00B608A8" w:rsidRPr="000727D5">
        <w:rPr>
          <w:i/>
          <w:highlight w:val="lightGray"/>
          <w:vertAlign w:val="superscript"/>
        </w:rPr>
        <w:t>3</w:t>
      </w:r>
      <w:r w:rsidRPr="000727D5">
        <w:rPr>
          <w:i/>
          <w:highlight w:val="lightGray"/>
        </w:rPr>
        <w:t xml:space="preserve"> or x % over insert period</w:t>
      </w:r>
      <w:r w:rsidRPr="00394A0B">
        <w:t>&gt;</w:t>
      </w:r>
      <w:r w:rsidR="003B1F6D" w:rsidRPr="003B1F6D">
        <w:t>.</w:t>
      </w:r>
    </w:p>
    <w:p w14:paraId="12A9F3E6" w14:textId="670473A7" w:rsidR="00B608A8" w:rsidRDefault="00B608A8" w:rsidP="00587942">
      <w:pPr>
        <w:pStyle w:val="ListParagraph"/>
        <w:jc w:val="both"/>
        <w:rPr>
          <w:i/>
          <w:sz w:val="20"/>
        </w:rPr>
      </w:pPr>
      <w:r w:rsidRPr="002B1F7A">
        <w:rPr>
          <w:i/>
          <w:sz w:val="20"/>
        </w:rPr>
        <w:t>*</w:t>
      </w:r>
      <w:r>
        <w:rPr>
          <w:i/>
          <w:sz w:val="20"/>
          <w:vertAlign w:val="superscript"/>
        </w:rPr>
        <w:t>3</w:t>
      </w:r>
      <w:r>
        <w:rPr>
          <w:i/>
          <w:sz w:val="20"/>
        </w:rPr>
        <w:t xml:space="preserve">The kWh can be actual savings which are captured by the electricity consumption tracking of the entire building, or via a demonstrated savings approach where </w:t>
      </w:r>
      <w:r w:rsidR="00FD2BA4">
        <w:rPr>
          <w:i/>
          <w:sz w:val="20"/>
        </w:rPr>
        <w:t xml:space="preserve">building </w:t>
      </w:r>
      <w:r>
        <w:rPr>
          <w:i/>
          <w:sz w:val="20"/>
        </w:rPr>
        <w:t>activities are expanding or intensifying. Demonstrated savings are calculated savings based on equipment efficiency improvements.</w:t>
      </w:r>
    </w:p>
    <w:p w14:paraId="39083743" w14:textId="7AA268F5" w:rsidR="00A80BBF" w:rsidRDefault="00A80BBF" w:rsidP="00587942">
      <w:pPr>
        <w:pStyle w:val="ListParagraph"/>
        <w:numPr>
          <w:ilvl w:val="0"/>
          <w:numId w:val="15"/>
        </w:numPr>
        <w:jc w:val="both"/>
      </w:pPr>
      <w:r>
        <w:t>Installation of metering to separate and monitor the building</w:t>
      </w:r>
      <w:r w:rsidR="00F1464B">
        <w:t xml:space="preserve"> energy</w:t>
      </w:r>
      <w:r>
        <w:t xml:space="preserve"> usage such as lighting, receptacle (plug) loads and </w:t>
      </w:r>
      <w:r w:rsidR="00DD3F64">
        <w:t>Air-Conditioning and Mechanical Ventilation (ACMV)</w:t>
      </w:r>
      <w:r>
        <w:t xml:space="preserve"> systems.</w:t>
      </w:r>
    </w:p>
    <w:p w14:paraId="2862234C" w14:textId="09DDB35B" w:rsidR="006477C6" w:rsidRDefault="006477C6" w:rsidP="00587942">
      <w:pPr>
        <w:pStyle w:val="ListParagraph"/>
        <w:numPr>
          <w:ilvl w:val="0"/>
          <w:numId w:val="15"/>
        </w:numPr>
        <w:jc w:val="both"/>
      </w:pPr>
      <w:r w:rsidRPr="00394A0B">
        <w:rPr>
          <w:b/>
          <w:bCs/>
        </w:rPr>
        <w:t>[Suggested]</w:t>
      </w:r>
      <w:r>
        <w:t xml:space="preserve"> The building owner will identify opportunities for the deployment of and/or purchase of renewable energy</w:t>
      </w:r>
      <w:r w:rsidR="004A2292">
        <w:t xml:space="preserve"> certificate</w:t>
      </w:r>
      <w:r w:rsidR="00557B5F">
        <w:t>s</w:t>
      </w:r>
      <w:r w:rsidR="004A2292">
        <w:t xml:space="preserve"> in complian</w:t>
      </w:r>
      <w:r w:rsidR="00557B5F">
        <w:t>ce</w:t>
      </w:r>
      <w:r w:rsidR="004A2292">
        <w:t xml:space="preserve"> with SS 673: 2021</w:t>
      </w:r>
      <w:r w:rsidR="00A900CE">
        <w:t>.</w:t>
      </w:r>
    </w:p>
    <w:p w14:paraId="0B3CD4B1" w14:textId="77777777" w:rsidR="009B0A1C" w:rsidRPr="00394A0B" w:rsidRDefault="009B0A1C" w:rsidP="00394A0B">
      <w:pPr>
        <w:pStyle w:val="Heading2"/>
      </w:pPr>
      <w:r w:rsidRPr="00394A0B">
        <w:t>A3 Building Management</w:t>
      </w:r>
    </w:p>
    <w:p w14:paraId="37B84B7D" w14:textId="15F9C65D" w:rsidR="006532B2" w:rsidRDefault="00F44EC0" w:rsidP="00587942">
      <w:pPr>
        <w:pStyle w:val="ListParagraph"/>
        <w:numPr>
          <w:ilvl w:val="0"/>
          <w:numId w:val="17"/>
        </w:numPr>
        <w:jc w:val="both"/>
      </w:pPr>
      <w:r>
        <w:t>Operation, maintenance and r</w:t>
      </w:r>
      <w:r w:rsidR="00155E43">
        <w:t xml:space="preserve">enovation </w:t>
      </w:r>
      <w:r w:rsidR="006532B2">
        <w:t xml:space="preserve">contracts to specify </w:t>
      </w:r>
      <w:r w:rsidR="00155E43">
        <w:t xml:space="preserve">that </w:t>
      </w:r>
      <w:r w:rsidR="006532B2">
        <w:t xml:space="preserve">all </w:t>
      </w:r>
      <w:r w:rsidR="006532B2" w:rsidRPr="006532B2">
        <w:rPr>
          <w:b/>
        </w:rPr>
        <w:t>paints, sealants, cleaners and adhesives are low VOC</w:t>
      </w:r>
      <w:r w:rsidR="006532B2">
        <w:t xml:space="preserve"> and certified </w:t>
      </w:r>
      <w:r w:rsidR="00C92478">
        <w:t>with at least SGBP 2 ticks or equivalent by local certification bodies</w:t>
      </w:r>
      <w:r w:rsidR="0064016D">
        <w:t>.</w:t>
      </w:r>
      <w:r w:rsidR="0064016D" w:rsidRPr="0064016D" w:rsidDel="0064016D">
        <w:t xml:space="preserve"> </w:t>
      </w:r>
    </w:p>
    <w:p w14:paraId="3434D54D" w14:textId="631CF26C" w:rsidR="006532B2" w:rsidRDefault="009F0743" w:rsidP="00587942">
      <w:pPr>
        <w:pStyle w:val="ListParagraph"/>
        <w:numPr>
          <w:ilvl w:val="0"/>
          <w:numId w:val="17"/>
        </w:numPr>
        <w:jc w:val="both"/>
      </w:pPr>
      <w:r w:rsidRPr="00483569">
        <w:t>Provision of private</w:t>
      </w:r>
      <w:r w:rsidR="006532B2" w:rsidRPr="00AF50C1">
        <w:t xml:space="preserve"> </w:t>
      </w:r>
      <w:r w:rsidR="00870EFA" w:rsidRPr="00394A0B">
        <w:t xml:space="preserve">water </w:t>
      </w:r>
      <w:r w:rsidRPr="00483569">
        <w:t>meters</w:t>
      </w:r>
      <w:r w:rsidRPr="00AF50C1">
        <w:t xml:space="preserve"> and</w:t>
      </w:r>
      <w:r>
        <w:t xml:space="preserve"> </w:t>
      </w:r>
      <w:r w:rsidR="00E4060D">
        <w:t xml:space="preserve">at least </w:t>
      </w:r>
      <w:r w:rsidR="004E29F2">
        <w:t>&lt;</w:t>
      </w:r>
      <w:r w:rsidR="00E4060D" w:rsidRPr="000727D5">
        <w:rPr>
          <w:i/>
          <w:highlight w:val="lightGray"/>
        </w:rPr>
        <w:t>weekly</w:t>
      </w:r>
      <w:r w:rsidR="00727F44" w:rsidRPr="000727D5">
        <w:rPr>
          <w:i/>
          <w:highlight w:val="lightGray"/>
        </w:rPr>
        <w:t xml:space="preserve"> </w:t>
      </w:r>
      <w:r w:rsidR="004E29F2" w:rsidRPr="000727D5">
        <w:rPr>
          <w:i/>
          <w:highlight w:val="lightGray"/>
        </w:rPr>
        <w:t>/</w:t>
      </w:r>
      <w:r w:rsidR="00727F44" w:rsidRPr="000727D5">
        <w:rPr>
          <w:i/>
          <w:highlight w:val="lightGray"/>
        </w:rPr>
        <w:t xml:space="preserve"> </w:t>
      </w:r>
      <w:r w:rsidR="004E29F2" w:rsidRPr="000727D5">
        <w:rPr>
          <w:i/>
          <w:highlight w:val="lightGray"/>
        </w:rPr>
        <w:t>monthly</w:t>
      </w:r>
      <w:r w:rsidR="004E29F2">
        <w:t>&gt;</w:t>
      </w:r>
      <w:r w:rsidR="00E4060D">
        <w:t xml:space="preserve"> </w:t>
      </w:r>
      <w:r>
        <w:t>monitoring</w:t>
      </w:r>
      <w:r w:rsidR="006532B2">
        <w:t xml:space="preserve"> of major base building water uses</w:t>
      </w:r>
      <w:r>
        <w:t xml:space="preserve"> such as cooling towers, </w:t>
      </w:r>
      <w:r w:rsidR="00E4060D">
        <w:t>common toilets</w:t>
      </w:r>
      <w:r>
        <w:t xml:space="preserve"> and irrigation.</w:t>
      </w:r>
    </w:p>
    <w:p w14:paraId="69E7AB1C" w14:textId="77777777" w:rsidR="006532B2" w:rsidRDefault="006532B2" w:rsidP="00587942">
      <w:pPr>
        <w:pStyle w:val="ListParagraph"/>
        <w:numPr>
          <w:ilvl w:val="0"/>
          <w:numId w:val="17"/>
        </w:numPr>
        <w:jc w:val="both"/>
      </w:pPr>
      <w:r>
        <w:t xml:space="preserve">Tools to support tenant to calculate design water consumption and to provide up-to-date information and advice on water fittings, equipment. </w:t>
      </w:r>
    </w:p>
    <w:p w14:paraId="779C3D97" w14:textId="4B554F6E" w:rsidR="006532B2" w:rsidRDefault="00B035B1" w:rsidP="00587942">
      <w:pPr>
        <w:pStyle w:val="ListParagraph"/>
        <w:numPr>
          <w:ilvl w:val="0"/>
          <w:numId w:val="17"/>
        </w:numPr>
        <w:jc w:val="both"/>
      </w:pPr>
      <w:r>
        <w:t xml:space="preserve">A ‘Tenant Construction and Fit-out Manual’ &amp; procurement guidelines to be provided which includes sustainable materials schedule and green specifications. The guide shall detail the materials that </w:t>
      </w:r>
      <w:r w:rsidRPr="005D12C3">
        <w:rPr>
          <w:b/>
          <w:u w:val="single"/>
        </w:rPr>
        <w:t>should not be permitted</w:t>
      </w:r>
      <w:r>
        <w:t xml:space="preserve"> to be used within the building</w:t>
      </w:r>
      <w:r w:rsidR="00AF50C1">
        <w:t>.</w:t>
      </w:r>
    </w:p>
    <w:p w14:paraId="3FF3C3B0" w14:textId="77777777" w:rsidR="00B035B1" w:rsidRDefault="00B035B1" w:rsidP="00587942">
      <w:pPr>
        <w:pStyle w:val="ListParagraph"/>
        <w:numPr>
          <w:ilvl w:val="0"/>
          <w:numId w:val="17"/>
        </w:numPr>
        <w:jc w:val="both"/>
      </w:pPr>
      <w:r>
        <w:t>Environmental Management Plan formed in collaboration with the tenants to set and review the targets set in this schedule.</w:t>
      </w:r>
    </w:p>
    <w:p w14:paraId="7A5D96D6" w14:textId="7662A095" w:rsidR="000D5CAC" w:rsidRPr="00394A0B" w:rsidRDefault="000D5CAC" w:rsidP="00394A0B">
      <w:pPr>
        <w:pStyle w:val="Heading2"/>
      </w:pPr>
      <w:r w:rsidRPr="00394A0B">
        <w:t>A4</w:t>
      </w:r>
      <w:r w:rsidR="00A853F5">
        <w:t xml:space="preserve"> </w:t>
      </w:r>
      <w:r w:rsidRPr="00394A0B">
        <w:t xml:space="preserve">Waste Management </w:t>
      </w:r>
    </w:p>
    <w:p w14:paraId="2E919F2C" w14:textId="40B771C9" w:rsidR="000C2CDB" w:rsidRDefault="00AF643C" w:rsidP="003D70EC">
      <w:pPr>
        <w:pStyle w:val="ListParagraph"/>
        <w:numPr>
          <w:ilvl w:val="0"/>
          <w:numId w:val="49"/>
        </w:numPr>
        <w:jc w:val="both"/>
      </w:pPr>
      <w:r>
        <w:t xml:space="preserve">Engage a waste contractor to provide </w:t>
      </w:r>
      <w:proofErr w:type="gramStart"/>
      <w:r>
        <w:t>sufficient</w:t>
      </w:r>
      <w:proofErr w:type="gramEnd"/>
      <w:r>
        <w:t xml:space="preserve"> recycling receptacles that are easily accessible</w:t>
      </w:r>
      <w:r w:rsidR="00C436E9">
        <w:t xml:space="preserve"> by tenants,</w:t>
      </w:r>
      <w:r>
        <w:t xml:space="preserve"> </w:t>
      </w:r>
      <w:r w:rsidRPr="0014360E">
        <w:rPr>
          <w:rFonts w:cstheme="minorHAnsi"/>
        </w:rPr>
        <w:t>and dedicate</w:t>
      </w:r>
      <w:r w:rsidR="00FC3E4D">
        <w:rPr>
          <w:rFonts w:cstheme="minorHAnsi"/>
        </w:rPr>
        <w:t>d</w:t>
      </w:r>
      <w:r w:rsidR="003A2529">
        <w:rPr>
          <w:rFonts w:cstheme="minorHAnsi"/>
        </w:rPr>
        <w:t xml:space="preserve"> </w:t>
      </w:r>
      <w:r w:rsidR="00C436E9">
        <w:rPr>
          <w:rFonts w:cstheme="minorHAnsi"/>
        </w:rPr>
        <w:t>space for</w:t>
      </w:r>
      <w:r w:rsidRPr="0014360E">
        <w:rPr>
          <w:rFonts w:cstheme="minorHAnsi"/>
        </w:rPr>
        <w:t xml:space="preserve"> separate collection </w:t>
      </w:r>
      <w:r w:rsidR="00FC3E4D">
        <w:rPr>
          <w:rFonts w:cstheme="minorHAnsi"/>
        </w:rPr>
        <w:t xml:space="preserve">and segregation </w:t>
      </w:r>
      <w:r w:rsidRPr="0014360E">
        <w:rPr>
          <w:rFonts w:cstheme="minorHAnsi"/>
        </w:rPr>
        <w:t>of waste</w:t>
      </w:r>
      <w:r w:rsidR="003B5DB7">
        <w:rPr>
          <w:rFonts w:cstheme="minorHAnsi"/>
        </w:rPr>
        <w:t xml:space="preserve"> and</w:t>
      </w:r>
      <w:r w:rsidRPr="0014360E">
        <w:rPr>
          <w:rFonts w:cstheme="minorHAnsi"/>
        </w:rPr>
        <w:t xml:space="preserve"> recyclables (</w:t>
      </w:r>
      <w:r w:rsidR="00FC3E4D">
        <w:rPr>
          <w:rFonts w:cstheme="minorHAnsi"/>
        </w:rPr>
        <w:t xml:space="preserve">e.g. </w:t>
      </w:r>
      <w:r w:rsidRPr="0014360E">
        <w:rPr>
          <w:rFonts w:cstheme="minorHAnsi"/>
        </w:rPr>
        <w:t>paper</w:t>
      </w:r>
      <w:r w:rsidR="000B0B90">
        <w:rPr>
          <w:rFonts w:cstheme="minorHAnsi"/>
        </w:rPr>
        <w:t>/</w:t>
      </w:r>
      <w:r w:rsidRPr="0014360E">
        <w:rPr>
          <w:rFonts w:cstheme="minorHAnsi"/>
        </w:rPr>
        <w:t>cardboard, plastic</w:t>
      </w:r>
      <w:r>
        <w:rPr>
          <w:rFonts w:cstheme="minorHAnsi"/>
        </w:rPr>
        <w:t>s</w:t>
      </w:r>
      <w:r w:rsidRPr="0014360E">
        <w:rPr>
          <w:rFonts w:cstheme="minorHAnsi"/>
        </w:rPr>
        <w:t>, glass, metals</w:t>
      </w:r>
      <w:r w:rsidR="00FC3E4D">
        <w:rPr>
          <w:rFonts w:cstheme="minorHAnsi"/>
        </w:rPr>
        <w:t>, e-waste</w:t>
      </w:r>
      <w:r w:rsidRPr="0014360E">
        <w:rPr>
          <w:rFonts w:cstheme="minorHAnsi"/>
        </w:rPr>
        <w:t>)</w:t>
      </w:r>
      <w:r>
        <w:rPr>
          <w:rFonts w:cstheme="minorHAnsi"/>
        </w:rPr>
        <w:t>.</w:t>
      </w:r>
    </w:p>
    <w:p w14:paraId="7740DCAF" w14:textId="77777777" w:rsidR="001530DC" w:rsidRDefault="001530DC">
      <w:pPr>
        <w:rPr>
          <w:rFonts w:ascii="Cambria" w:hAnsi="Cambria"/>
          <w:b/>
          <w:sz w:val="28"/>
          <w:szCs w:val="28"/>
        </w:rPr>
      </w:pPr>
      <w:r>
        <w:rPr>
          <w:rFonts w:ascii="Cambria" w:hAnsi="Cambria"/>
          <w:b/>
          <w:sz w:val="28"/>
          <w:szCs w:val="28"/>
        </w:rPr>
        <w:br w:type="page"/>
      </w:r>
    </w:p>
    <w:p w14:paraId="0E5F1871" w14:textId="77777777" w:rsidR="000334B1" w:rsidRDefault="000334B1" w:rsidP="00394A0B">
      <w:pPr>
        <w:pStyle w:val="Heading1"/>
      </w:pPr>
      <w:bookmarkStart w:id="4" w:name="_Toc73527098"/>
      <w:r w:rsidRPr="000334B1">
        <w:lastRenderedPageBreak/>
        <w:t xml:space="preserve">Section </w:t>
      </w:r>
      <w:r>
        <w:t>B</w:t>
      </w:r>
      <w:r w:rsidRPr="000334B1">
        <w:t xml:space="preserve">: </w:t>
      </w:r>
      <w:r>
        <w:t>Additional Standards (Landlord)</w:t>
      </w:r>
      <w:bookmarkEnd w:id="4"/>
    </w:p>
    <w:p w14:paraId="71396C0F" w14:textId="77777777" w:rsidR="0014424A" w:rsidRPr="000334B1" w:rsidRDefault="0014424A" w:rsidP="00587942">
      <w:pPr>
        <w:jc w:val="both"/>
        <w:rPr>
          <w:rFonts w:ascii="Cambria" w:hAnsi="Cambria"/>
          <w:b/>
          <w:sz w:val="28"/>
          <w:szCs w:val="28"/>
        </w:rPr>
      </w:pPr>
      <w:r>
        <w:rPr>
          <w:i/>
        </w:rPr>
        <w:t xml:space="preserve">This section provides a list of clauses that are encouraged to be implemented </w:t>
      </w:r>
      <w:r w:rsidRPr="0014424A">
        <w:rPr>
          <w:i/>
          <w:u w:val="single"/>
        </w:rPr>
        <w:t>where possible</w:t>
      </w:r>
      <w:r>
        <w:rPr>
          <w:i/>
        </w:rPr>
        <w:t>. These clauses can be edited, removed or substituted with other clauses that are deemed relevant to the building.</w:t>
      </w:r>
    </w:p>
    <w:p w14:paraId="42F36074" w14:textId="77777777" w:rsidR="00843069" w:rsidRPr="00394A0B" w:rsidRDefault="0047327B" w:rsidP="00587942">
      <w:pPr>
        <w:jc w:val="both"/>
        <w:rPr>
          <w:rFonts w:ascii="Calibri" w:hAnsi="Calibri" w:cs="Calibri"/>
          <w:b/>
          <w:caps/>
          <w:sz w:val="24"/>
          <w:szCs w:val="24"/>
          <w:u w:val="single"/>
        </w:rPr>
      </w:pPr>
      <w:r w:rsidRPr="00394A0B">
        <w:rPr>
          <w:rFonts w:ascii="Calibri" w:hAnsi="Calibri" w:cs="Calibri"/>
          <w:b/>
          <w:caps/>
          <w:sz w:val="24"/>
          <w:szCs w:val="24"/>
          <w:u w:val="single"/>
        </w:rPr>
        <w:t>Resource Management</w:t>
      </w:r>
    </w:p>
    <w:p w14:paraId="0DC8164A" w14:textId="77777777" w:rsidR="00E53E18" w:rsidRPr="00394A0B" w:rsidRDefault="009B0A1C" w:rsidP="00394A0B">
      <w:pPr>
        <w:pStyle w:val="Heading2"/>
      </w:pPr>
      <w:r w:rsidRPr="00394A0B">
        <w:t>B1</w:t>
      </w:r>
      <w:r w:rsidR="00963CA8" w:rsidRPr="00394A0B">
        <w:t xml:space="preserve"> </w:t>
      </w:r>
      <w:r w:rsidR="00D85D3E" w:rsidRPr="00394A0B">
        <w:t>Electricity U</w:t>
      </w:r>
      <w:r w:rsidR="00E53E18" w:rsidRPr="00394A0B">
        <w:t>se</w:t>
      </w:r>
    </w:p>
    <w:p w14:paraId="500BC7AF" w14:textId="4FD0AAF7" w:rsidR="0047327B" w:rsidRDefault="0047327B" w:rsidP="00587942">
      <w:pPr>
        <w:pStyle w:val="ListParagraph"/>
        <w:numPr>
          <w:ilvl w:val="0"/>
          <w:numId w:val="16"/>
        </w:numPr>
        <w:jc w:val="both"/>
      </w:pPr>
      <w:r>
        <w:t>Landlord to use only energy efficient and environmentally responsible</w:t>
      </w:r>
      <w:r w:rsidRPr="0047327B">
        <w:t xml:space="preserve"> </w:t>
      </w:r>
      <w:r>
        <w:t>luminaries.</w:t>
      </w:r>
    </w:p>
    <w:p w14:paraId="6EF86441" w14:textId="77777777" w:rsidR="00F1464B" w:rsidRDefault="00F1464B" w:rsidP="00587942">
      <w:pPr>
        <w:pStyle w:val="ListParagraph"/>
        <w:numPr>
          <w:ilvl w:val="0"/>
          <w:numId w:val="16"/>
        </w:numPr>
        <w:jc w:val="both"/>
      </w:pPr>
      <w:r>
        <w:t>Landlord to incentivise low energy use by providing electrical billing at below the prevailing SP Services quarterly Low Tension non-domestic tariff rate OR by giving a rebate. Target consumption to be defined and agreed upon by both landlord and tenant.</w:t>
      </w:r>
    </w:p>
    <w:p w14:paraId="4A2B1018" w14:textId="77777777" w:rsidR="00DF7D5F" w:rsidRPr="00394A0B" w:rsidRDefault="009B0A1C" w:rsidP="00394A0B">
      <w:pPr>
        <w:pStyle w:val="Heading2"/>
      </w:pPr>
      <w:r w:rsidRPr="00394A0B">
        <w:t>B</w:t>
      </w:r>
      <w:r w:rsidR="0047327B" w:rsidRPr="00394A0B">
        <w:t>2</w:t>
      </w:r>
      <w:r w:rsidR="00D85D3E" w:rsidRPr="00394A0B">
        <w:t xml:space="preserve"> </w:t>
      </w:r>
      <w:r w:rsidR="00DF7D5F" w:rsidRPr="00394A0B">
        <w:t>Efficient water management</w:t>
      </w:r>
      <w:r w:rsidR="00891478" w:rsidRPr="00394A0B">
        <w:t>:</w:t>
      </w:r>
    </w:p>
    <w:p w14:paraId="71153392" w14:textId="1BBDA1FA" w:rsidR="004E29F2" w:rsidRPr="00332721" w:rsidRDefault="00B035B1" w:rsidP="0047327B">
      <w:pPr>
        <w:pStyle w:val="ListParagraph"/>
        <w:numPr>
          <w:ilvl w:val="0"/>
          <w:numId w:val="18"/>
        </w:numPr>
        <w:jc w:val="both"/>
      </w:pPr>
      <w:r w:rsidRPr="0047327B">
        <w:rPr>
          <w:b/>
        </w:rPr>
        <w:t>[</w:t>
      </w:r>
      <w:r w:rsidRPr="00332721">
        <w:rPr>
          <w:b/>
        </w:rPr>
        <w:t xml:space="preserve">Recommended] </w:t>
      </w:r>
      <w:r w:rsidR="003921A3" w:rsidRPr="000A4E1C">
        <w:t>Installation of 3-ticks Water Efficiency Labelling Scheme (WELS) fittings for new and existing premises</w:t>
      </w:r>
      <w:r w:rsidR="003921A3" w:rsidRPr="00AF50C1">
        <w:t xml:space="preserve"> (upon</w:t>
      </w:r>
      <w:r w:rsidR="00A76378" w:rsidRPr="00AF50C1">
        <w:t xml:space="preserve"> </w:t>
      </w:r>
      <w:r w:rsidR="009F631D" w:rsidRPr="00AF50C1">
        <w:t>replacement</w:t>
      </w:r>
      <w:r w:rsidR="003921A3" w:rsidRPr="00AF50C1">
        <w:t>)</w:t>
      </w:r>
      <w:r w:rsidR="009F0743" w:rsidRPr="00AF50C1">
        <w:t>.</w:t>
      </w:r>
    </w:p>
    <w:p w14:paraId="072B394C" w14:textId="77777777" w:rsidR="009F0743" w:rsidRPr="00394A0B" w:rsidRDefault="00DB495D" w:rsidP="00587942">
      <w:pPr>
        <w:pStyle w:val="ListParagraph"/>
        <w:numPr>
          <w:ilvl w:val="0"/>
          <w:numId w:val="18"/>
        </w:numPr>
        <w:jc w:val="both"/>
      </w:pPr>
      <w:r w:rsidRPr="00394A0B">
        <w:t>W</w:t>
      </w:r>
      <w:r w:rsidR="002B244D" w:rsidRPr="00394A0B">
        <w:t xml:space="preserve">ater </w:t>
      </w:r>
      <w:r w:rsidR="005B6EF2" w:rsidRPr="00394A0B">
        <w:t>efficiency index</w:t>
      </w:r>
      <w:r w:rsidR="002B244D" w:rsidRPr="00394A0B">
        <w:t xml:space="preserve"> averaging not greater than </w:t>
      </w:r>
      <w:r w:rsidR="002B244D" w:rsidRPr="000727D5">
        <w:rPr>
          <w:highlight w:val="lightGray"/>
        </w:rPr>
        <w:t>&lt;</w:t>
      </w:r>
      <w:r w:rsidR="00936FCF" w:rsidRPr="000727D5">
        <w:rPr>
          <w:i/>
          <w:highlight w:val="lightGray"/>
        </w:rPr>
        <w:t>Insert value</w:t>
      </w:r>
      <w:r w:rsidR="00587942" w:rsidRPr="000727D5">
        <w:rPr>
          <w:highlight w:val="lightGray"/>
        </w:rPr>
        <w:t>&gt;</w:t>
      </w:r>
      <w:r w:rsidR="00587942" w:rsidRPr="00394A0B">
        <w:t xml:space="preserve"> litres</w:t>
      </w:r>
      <w:r w:rsidRPr="00394A0B">
        <w:t xml:space="preserve"> per </w:t>
      </w:r>
      <w:r w:rsidR="005B6EF2" w:rsidRPr="00394A0B">
        <w:t xml:space="preserve">person </w:t>
      </w:r>
      <w:r w:rsidR="00916435" w:rsidRPr="00394A0B">
        <w:t>per day (l/p/d)</w:t>
      </w:r>
      <w:r w:rsidR="0087765A" w:rsidRPr="00394A0B">
        <w:t>.</w:t>
      </w:r>
    </w:p>
    <w:p w14:paraId="2041BAB4" w14:textId="4DB9D37A" w:rsidR="009F0743" w:rsidRPr="00394A0B" w:rsidRDefault="009F0743" w:rsidP="00587942">
      <w:pPr>
        <w:pStyle w:val="ListParagraph"/>
        <w:numPr>
          <w:ilvl w:val="0"/>
          <w:numId w:val="18"/>
        </w:numPr>
        <w:jc w:val="both"/>
      </w:pPr>
      <w:r w:rsidRPr="00394A0B">
        <w:t>Use of non-potable water (e</w:t>
      </w:r>
      <w:r w:rsidR="00870EFA" w:rsidRPr="00394A0B">
        <w:t>.</w:t>
      </w:r>
      <w:r w:rsidRPr="00394A0B">
        <w:t>g</w:t>
      </w:r>
      <w:r w:rsidR="00870EFA" w:rsidRPr="00394A0B">
        <w:t>.</w:t>
      </w:r>
      <w:r w:rsidRPr="00394A0B">
        <w:t xml:space="preserve"> </w:t>
      </w:r>
      <w:r w:rsidR="00870EFA" w:rsidRPr="00394A0B">
        <w:t xml:space="preserve">AHU condensate, </w:t>
      </w:r>
      <w:r w:rsidRPr="00394A0B">
        <w:t>NEWater, rainwater, etc) for non-potable use wherever possible.</w:t>
      </w:r>
    </w:p>
    <w:p w14:paraId="14A457AC" w14:textId="77777777" w:rsidR="009F0743" w:rsidRPr="00394A0B" w:rsidRDefault="009F0743" w:rsidP="00587942">
      <w:pPr>
        <w:pStyle w:val="ListParagraph"/>
        <w:numPr>
          <w:ilvl w:val="0"/>
          <w:numId w:val="18"/>
        </w:numPr>
        <w:jc w:val="both"/>
      </w:pPr>
      <w:r w:rsidRPr="00394A0B">
        <w:t>Use of drought resistant plants that require minimal irrigation.</w:t>
      </w:r>
    </w:p>
    <w:p w14:paraId="7FC41183" w14:textId="54FBAD37" w:rsidR="002B244D" w:rsidRPr="00394A0B" w:rsidRDefault="009F0743" w:rsidP="00587942">
      <w:pPr>
        <w:pStyle w:val="ListParagraph"/>
        <w:numPr>
          <w:ilvl w:val="0"/>
          <w:numId w:val="18"/>
        </w:numPr>
        <w:jc w:val="both"/>
      </w:pPr>
      <w:r w:rsidRPr="00394A0B">
        <w:t>Use of cooling tower water treatment system which can achieve</w:t>
      </w:r>
      <w:r w:rsidR="009F631D" w:rsidRPr="00394A0B">
        <w:t xml:space="preserve"> a minimum</w:t>
      </w:r>
      <w:r w:rsidRPr="00394A0B">
        <w:t xml:space="preserve"> 7 </w:t>
      </w:r>
      <w:r w:rsidR="009F631D" w:rsidRPr="00394A0B">
        <w:t xml:space="preserve">(for Potable Water) </w:t>
      </w:r>
      <w:r w:rsidR="00870EFA" w:rsidRPr="00394A0B">
        <w:t>and 10</w:t>
      </w:r>
      <w:r w:rsidR="009F631D" w:rsidRPr="00394A0B">
        <w:t xml:space="preserve"> (for NEWater)</w:t>
      </w:r>
      <w:r w:rsidRPr="00394A0B">
        <w:t xml:space="preserve"> cycles of concentration at acceptable water quality.</w:t>
      </w:r>
    </w:p>
    <w:p w14:paraId="5F40754C" w14:textId="5630F610" w:rsidR="00411CC0" w:rsidRPr="00394A0B" w:rsidRDefault="00411CC0" w:rsidP="00411CC0">
      <w:pPr>
        <w:pStyle w:val="ListParagraph"/>
        <w:numPr>
          <w:ilvl w:val="0"/>
          <w:numId w:val="18"/>
        </w:numPr>
        <w:jc w:val="both"/>
      </w:pPr>
      <w:r w:rsidRPr="00394A0B">
        <w:t xml:space="preserve">Display water conservation posters in all toilets. </w:t>
      </w:r>
    </w:p>
    <w:p w14:paraId="356BA4A4" w14:textId="2F5CB0E9" w:rsidR="00EB5264" w:rsidRPr="00394A0B" w:rsidRDefault="00EB5264">
      <w:pPr>
        <w:pStyle w:val="ListParagraph"/>
        <w:numPr>
          <w:ilvl w:val="0"/>
          <w:numId w:val="18"/>
        </w:numPr>
      </w:pPr>
      <w:r w:rsidRPr="00394A0B">
        <w:t>Use high pressure washer jet, dishwasher and washer extractor that meet PUB’s water use criteria</w:t>
      </w:r>
      <w:r w:rsidR="005B438E" w:rsidRPr="00394A0B">
        <w:rPr>
          <w:vertAlign w:val="superscript"/>
        </w:rPr>
        <w:t>*</w:t>
      </w:r>
      <w:r w:rsidR="00AF50C1" w:rsidRPr="00394A0B">
        <w:rPr>
          <w:vertAlign w:val="superscript"/>
        </w:rPr>
        <w:t>4</w:t>
      </w:r>
      <w:r w:rsidRPr="00394A0B">
        <w:t>, where applicable.</w:t>
      </w:r>
    </w:p>
    <w:p w14:paraId="59004409" w14:textId="11FBA01B" w:rsidR="00EB51DC" w:rsidRPr="00394A0B" w:rsidRDefault="005B438E" w:rsidP="00394A0B">
      <w:pPr>
        <w:ind w:left="720"/>
        <w:rPr>
          <w:i/>
          <w:iCs/>
          <w:sz w:val="20"/>
          <w:szCs w:val="20"/>
        </w:rPr>
      </w:pPr>
      <w:r w:rsidRPr="00394A0B">
        <w:rPr>
          <w:i/>
          <w:iCs/>
          <w:vertAlign w:val="superscript"/>
        </w:rPr>
        <w:t>*</w:t>
      </w:r>
      <w:r w:rsidR="00AF50C1" w:rsidRPr="00394A0B">
        <w:rPr>
          <w:i/>
          <w:iCs/>
          <w:vertAlign w:val="superscript"/>
        </w:rPr>
        <w:t>4</w:t>
      </w:r>
      <w:r w:rsidR="00EB51DC" w:rsidRPr="00394A0B">
        <w:rPr>
          <w:i/>
          <w:iCs/>
          <w:sz w:val="20"/>
          <w:szCs w:val="20"/>
        </w:rPr>
        <w:t xml:space="preserve">  Water use criteria are as follows: </w:t>
      </w:r>
      <w:r w:rsidR="00EB51DC" w:rsidRPr="00394A0B">
        <w:rPr>
          <w:i/>
          <w:iCs/>
          <w:sz w:val="20"/>
          <w:szCs w:val="20"/>
        </w:rPr>
        <w:br/>
        <w:t>a) High pressure washer jet - not to exceed 6L/min;</w:t>
      </w:r>
      <w:r w:rsidR="00EB51DC" w:rsidRPr="00394A0B">
        <w:rPr>
          <w:i/>
          <w:iCs/>
          <w:sz w:val="20"/>
          <w:szCs w:val="20"/>
        </w:rPr>
        <w:br/>
        <w:t>b) Washer extractor - not to exceed 7.8L/kg for top/front load, and 12L/kg for side load;</w:t>
      </w:r>
      <w:r w:rsidR="00EB51DC" w:rsidRPr="00394A0B">
        <w:rPr>
          <w:i/>
          <w:iCs/>
          <w:sz w:val="20"/>
          <w:szCs w:val="20"/>
        </w:rPr>
        <w:br/>
        <w:t xml:space="preserve">c) Dishwasher - not to exceed 2L/rack for undercounter/hood type, 1L/rack for single tank conveyor, 0.66L/rack for multi tank conveyor, and 0.59L/rack for flight type.   </w:t>
      </w:r>
    </w:p>
    <w:p w14:paraId="1FE0B8FE" w14:textId="77777777" w:rsidR="001530DC" w:rsidRPr="00394A0B" w:rsidRDefault="001530DC" w:rsidP="00394A0B">
      <w:pPr>
        <w:pStyle w:val="Heading2"/>
      </w:pPr>
      <w:r w:rsidRPr="00394A0B">
        <w:t>B3 Efficient Waste Management</w:t>
      </w:r>
    </w:p>
    <w:p w14:paraId="2AFEC007" w14:textId="3A2476B0" w:rsidR="004E16E1" w:rsidRPr="003D70EC" w:rsidRDefault="001530DC" w:rsidP="00645910">
      <w:pPr>
        <w:pStyle w:val="ListParagraph"/>
        <w:numPr>
          <w:ilvl w:val="0"/>
          <w:numId w:val="19"/>
        </w:numPr>
        <w:jc w:val="both"/>
      </w:pPr>
      <w:r>
        <w:rPr>
          <w:b/>
        </w:rPr>
        <w:t>[Recommended]</w:t>
      </w:r>
      <w:r w:rsidRPr="003D70EC">
        <w:rPr>
          <w:bCs/>
        </w:rPr>
        <w:t xml:space="preserve"> </w:t>
      </w:r>
      <w:r w:rsidR="004E16E1" w:rsidRPr="003D70EC">
        <w:rPr>
          <w:bCs/>
        </w:rPr>
        <w:t>Implement</w:t>
      </w:r>
      <w:r w:rsidR="004E16E1">
        <w:rPr>
          <w:bCs/>
        </w:rPr>
        <w:t xml:space="preserve"> a 3R (reduce, reuse, recycle) programme that involves tenant participation. </w:t>
      </w:r>
      <w:r w:rsidR="004E16E1">
        <w:rPr>
          <w:b/>
        </w:rPr>
        <w:t xml:space="preserve"> </w:t>
      </w:r>
    </w:p>
    <w:p w14:paraId="57306898" w14:textId="32A7728F" w:rsidR="00080127" w:rsidRPr="007D0233" w:rsidRDefault="000D5CAC" w:rsidP="00394A0B">
      <w:pPr>
        <w:pStyle w:val="ListParagraph"/>
        <w:numPr>
          <w:ilvl w:val="0"/>
          <w:numId w:val="19"/>
        </w:numPr>
        <w:autoSpaceDE w:val="0"/>
        <w:autoSpaceDN w:val="0"/>
        <w:adjustRightInd w:val="0"/>
        <w:ind w:left="714" w:hanging="357"/>
        <w:jc w:val="both"/>
        <w:rPr>
          <w:rFonts w:ascii="Arial" w:hAnsi="Arial" w:cs="Arial"/>
          <w:color w:val="000000"/>
          <w:sz w:val="32"/>
          <w:szCs w:val="32"/>
          <w:lang w:val="en-SG"/>
        </w:rPr>
      </w:pPr>
      <w:r w:rsidRPr="000D5CAC">
        <w:rPr>
          <w:lang w:val="en-US"/>
        </w:rPr>
        <w:t>Provide collection points for e-waste and packaging waste including used beverage containers in collaboration with the PRS operator(s) for premises not mandated under the relevant scheme, if any</w:t>
      </w:r>
      <w:r w:rsidRPr="00333F55">
        <w:t>.</w:t>
      </w:r>
    </w:p>
    <w:p w14:paraId="5CCE8767" w14:textId="7096953F" w:rsidR="000D5CAC" w:rsidRPr="007D0233" w:rsidRDefault="000D5CAC" w:rsidP="007D0233">
      <w:pPr>
        <w:pStyle w:val="ListParagraph"/>
        <w:numPr>
          <w:ilvl w:val="0"/>
          <w:numId w:val="19"/>
        </w:numPr>
        <w:autoSpaceDE w:val="0"/>
        <w:autoSpaceDN w:val="0"/>
        <w:adjustRightInd w:val="0"/>
        <w:spacing w:line="240" w:lineRule="auto"/>
        <w:ind w:left="714" w:hanging="357"/>
        <w:rPr>
          <w:rFonts w:ascii="Arial" w:hAnsi="Arial" w:cs="Arial"/>
          <w:color w:val="000000"/>
          <w:sz w:val="32"/>
          <w:szCs w:val="32"/>
          <w:lang w:val="en-SG"/>
        </w:rPr>
      </w:pPr>
      <w:r>
        <w:lastRenderedPageBreak/>
        <w:t>Ban the use of disposables for dine-in meals at F&amp;B outlets</w:t>
      </w:r>
      <w:r w:rsidR="000A2E0E">
        <w:t>.</w:t>
      </w:r>
    </w:p>
    <w:p w14:paraId="120FF0EA" w14:textId="45D5D7E9" w:rsidR="00523DA2" w:rsidRDefault="001530DC" w:rsidP="007D0233">
      <w:pPr>
        <w:pStyle w:val="ListParagraph"/>
        <w:numPr>
          <w:ilvl w:val="0"/>
          <w:numId w:val="19"/>
        </w:numPr>
        <w:ind w:left="714" w:hanging="357"/>
        <w:jc w:val="both"/>
      </w:pPr>
      <w:r>
        <w:t>A</w:t>
      </w:r>
      <w:r w:rsidRPr="002B244D">
        <w:t xml:space="preserve"> waste diversion rate not less than &lt;</w:t>
      </w:r>
      <w:r w:rsidRPr="000727D5">
        <w:rPr>
          <w:i/>
          <w:highlight w:val="lightGray"/>
        </w:rPr>
        <w:t>insert value</w:t>
      </w:r>
      <w:r w:rsidRPr="002B244D">
        <w:t>&gt;% per year</w:t>
      </w:r>
      <w:r w:rsidR="000A2E0E">
        <w:t>.</w:t>
      </w:r>
      <w:r>
        <w:t xml:space="preserve"> </w:t>
      </w:r>
    </w:p>
    <w:p w14:paraId="3C6D6B14" w14:textId="3C836965" w:rsidR="001530DC" w:rsidRDefault="00523DA2" w:rsidP="00394A0B">
      <w:pPr>
        <w:pStyle w:val="ListParagraph"/>
        <w:numPr>
          <w:ilvl w:val="0"/>
          <w:numId w:val="19"/>
        </w:numPr>
        <w:jc w:val="both"/>
      </w:pPr>
      <w:r>
        <w:t>Waste audit conducted annually to identify and quantify the sources, amount and types of waste generated in the premises. A waste audit entails the following: (</w:t>
      </w:r>
      <w:proofErr w:type="spellStart"/>
      <w:r>
        <w:t>i</w:t>
      </w:r>
      <w:proofErr w:type="spellEnd"/>
      <w:r>
        <w:t xml:space="preserve">) create an audit checklist for all waste types generated from each tenant premises, (ii) collect waste samples from all tenant premises, (iii) sort the waste into different types according to the checklist and (iv) weigh the waste types, record the data and analyse results to identify opportunities for waste reduction and recycling. For more information, please refer to the 3R </w:t>
      </w:r>
      <w:r w:rsidR="00795113">
        <w:t xml:space="preserve">programmes and resources </w:t>
      </w:r>
      <w:r>
        <w:t xml:space="preserve">available at </w:t>
      </w:r>
      <w:hyperlink r:id="rId14" w:history="1">
        <w:r w:rsidR="005512C3" w:rsidRPr="002108D2">
          <w:rPr>
            <w:rStyle w:val="Hyperlink"/>
          </w:rPr>
          <w:t>https://www.nea.gov.sg/3r</w:t>
        </w:r>
      </w:hyperlink>
      <w:r w:rsidR="007A343E">
        <w:t>.</w:t>
      </w:r>
      <w:r w:rsidR="005512C3">
        <w:t xml:space="preserve"> </w:t>
      </w:r>
    </w:p>
    <w:p w14:paraId="4CB1B28F" w14:textId="77777777" w:rsidR="001530DC" w:rsidRPr="00394A0B" w:rsidRDefault="001530DC" w:rsidP="00394A0B">
      <w:pPr>
        <w:pStyle w:val="Heading2"/>
      </w:pPr>
      <w:r w:rsidRPr="00394A0B">
        <w:t xml:space="preserve">B4 </w:t>
      </w:r>
      <w:r w:rsidR="00444C45" w:rsidRPr="00394A0B">
        <w:t>Facility</w:t>
      </w:r>
      <w:r w:rsidRPr="00394A0B">
        <w:t xml:space="preserve"> Management </w:t>
      </w:r>
    </w:p>
    <w:p w14:paraId="581BFF0D" w14:textId="70B44406" w:rsidR="001530DC" w:rsidRDefault="001530DC" w:rsidP="001530DC">
      <w:pPr>
        <w:pStyle w:val="ListParagraph"/>
        <w:numPr>
          <w:ilvl w:val="0"/>
          <w:numId w:val="21"/>
        </w:numPr>
        <w:jc w:val="both"/>
      </w:pPr>
      <w:r>
        <w:rPr>
          <w:b/>
        </w:rPr>
        <w:t xml:space="preserve"> [Recommended] </w:t>
      </w:r>
      <w:r w:rsidRPr="00394A0B">
        <w:t>&lt;</w:t>
      </w:r>
      <w:r w:rsidRPr="000727D5">
        <w:rPr>
          <w:i/>
          <w:highlight w:val="lightGray"/>
        </w:rPr>
        <w:t>Trained</w:t>
      </w:r>
      <w:r w:rsidRPr="000727D5">
        <w:rPr>
          <w:highlight w:val="lightGray"/>
        </w:rPr>
        <w:t xml:space="preserve"> or </w:t>
      </w:r>
      <w:r w:rsidRPr="000727D5">
        <w:rPr>
          <w:i/>
          <w:highlight w:val="lightGray"/>
        </w:rPr>
        <w:t>Certified</w:t>
      </w:r>
      <w:r>
        <w:t>&gt; &lt;</w:t>
      </w:r>
      <w:r w:rsidRPr="000727D5">
        <w:rPr>
          <w:i/>
          <w:highlight w:val="lightGray"/>
        </w:rPr>
        <w:t xml:space="preserve">Green Mark </w:t>
      </w:r>
      <w:r w:rsidR="00D80170" w:rsidRPr="000727D5">
        <w:rPr>
          <w:i/>
          <w:highlight w:val="lightGray"/>
        </w:rPr>
        <w:t>Accredited Professional (Facilities Management)</w:t>
      </w:r>
      <w:r w:rsidRPr="000727D5">
        <w:rPr>
          <w:i/>
          <w:highlight w:val="lightGray"/>
        </w:rPr>
        <w:t xml:space="preserve"> / </w:t>
      </w:r>
      <w:r w:rsidR="00D80170" w:rsidRPr="000727D5">
        <w:rPr>
          <w:i/>
          <w:highlight w:val="lightGray"/>
        </w:rPr>
        <w:t xml:space="preserve">Green Mark Advanced Accredited Professional (Facilities Management) </w:t>
      </w:r>
      <w:r w:rsidRPr="000727D5">
        <w:rPr>
          <w:i/>
          <w:highlight w:val="lightGray"/>
        </w:rPr>
        <w:t>(</w:t>
      </w:r>
      <w:r w:rsidR="00D80170" w:rsidRPr="000727D5">
        <w:rPr>
          <w:i/>
          <w:highlight w:val="lightGray"/>
        </w:rPr>
        <w:t>GMAP (FM)/GM AAP (FM)</w:t>
      </w:r>
      <w:r w:rsidRPr="000727D5">
        <w:rPr>
          <w:i/>
          <w:highlight w:val="lightGray"/>
        </w:rPr>
        <w:t>), or Singapore Certified Energy Manager (SCEM)</w:t>
      </w:r>
      <w:r>
        <w:t xml:space="preserve">&gt; </w:t>
      </w:r>
      <w:bookmarkStart w:id="5" w:name="_Hlk80105345"/>
      <w:r>
        <w:t xml:space="preserve">as a part of the Base building’s facility management team. </w:t>
      </w:r>
    </w:p>
    <w:p w14:paraId="7A5BDC57" w14:textId="4273A48F" w:rsidR="007A343E" w:rsidRDefault="007A343E" w:rsidP="001530DC">
      <w:pPr>
        <w:pStyle w:val="ListParagraph"/>
        <w:numPr>
          <w:ilvl w:val="0"/>
          <w:numId w:val="21"/>
        </w:numPr>
        <w:jc w:val="both"/>
      </w:pPr>
      <w:r w:rsidRPr="00EE04D2">
        <w:rPr>
          <w:b/>
          <w:bCs/>
        </w:rPr>
        <w:t>[Recommended]</w:t>
      </w:r>
      <w:r w:rsidRPr="00127468">
        <w:t xml:space="preserve"> </w:t>
      </w:r>
      <w:r w:rsidRPr="00913F77">
        <w:t>&lt;</w:t>
      </w:r>
      <w:r w:rsidRPr="000727D5">
        <w:rPr>
          <w:i/>
          <w:iCs/>
          <w:highlight w:val="lightGray"/>
        </w:rPr>
        <w:t>Certified Facilities Management Company or Certified Facilities Management Company (Gold) or Certified Facilities Management Company (</w:t>
      </w:r>
      <w:proofErr w:type="spellStart"/>
      <w:r w:rsidRPr="000727D5">
        <w:rPr>
          <w:i/>
          <w:iCs/>
          <w:highlight w:val="lightGray"/>
        </w:rPr>
        <w:t>GoldPlus</w:t>
      </w:r>
      <w:proofErr w:type="spellEnd"/>
      <w:r w:rsidRPr="000727D5">
        <w:rPr>
          <w:i/>
          <w:iCs/>
          <w:highlight w:val="lightGray"/>
        </w:rPr>
        <w:t>)</w:t>
      </w:r>
      <w:r w:rsidRPr="00913F77">
        <w:t>&gt;</w:t>
      </w:r>
      <w:r w:rsidRPr="00127468">
        <w:t xml:space="preserve">, as a </w:t>
      </w:r>
      <w:r w:rsidRPr="00EE04D2">
        <w:t>part of the Base building’s facility management team.</w:t>
      </w:r>
    </w:p>
    <w:p w14:paraId="5C87FB28" w14:textId="77777777" w:rsidR="007A343E" w:rsidRPr="007A343E" w:rsidRDefault="007A343E" w:rsidP="007A343E">
      <w:pPr>
        <w:pStyle w:val="ListParagraph"/>
        <w:numPr>
          <w:ilvl w:val="0"/>
          <w:numId w:val="21"/>
        </w:numPr>
      </w:pPr>
      <w:r w:rsidRPr="007A343E">
        <w:t>&lt;</w:t>
      </w:r>
      <w:r w:rsidRPr="000727D5">
        <w:rPr>
          <w:i/>
          <w:iCs/>
          <w:highlight w:val="lightGray"/>
        </w:rPr>
        <w:t>Trained or Certified</w:t>
      </w:r>
      <w:r w:rsidRPr="007A343E">
        <w:t>&gt; Water Efficiency Manager Course (WEMC), or equivalent as a part of the Base building’s facility management team.</w:t>
      </w:r>
    </w:p>
    <w:bookmarkEnd w:id="5"/>
    <w:p w14:paraId="04E15F8C" w14:textId="77777777" w:rsidR="009B7F2F" w:rsidRDefault="009B7F2F" w:rsidP="00843069">
      <w:pPr>
        <w:jc w:val="both"/>
        <w:rPr>
          <w:rFonts w:asciiTheme="majorHAnsi" w:hAnsiTheme="majorHAnsi"/>
          <w:b/>
          <w:sz w:val="24"/>
          <w:szCs w:val="24"/>
          <w:u w:val="single"/>
        </w:rPr>
      </w:pPr>
    </w:p>
    <w:p w14:paraId="45146D2A" w14:textId="2A0B0C3E" w:rsidR="00843069" w:rsidRPr="00394A0B" w:rsidRDefault="00843069" w:rsidP="00843069">
      <w:pPr>
        <w:jc w:val="both"/>
        <w:rPr>
          <w:rFonts w:ascii="Calibri" w:hAnsi="Calibri" w:cs="Calibri"/>
          <w:b/>
          <w:sz w:val="24"/>
          <w:szCs w:val="24"/>
          <w:u w:val="single"/>
        </w:rPr>
      </w:pPr>
      <w:r w:rsidRPr="00394A0B">
        <w:rPr>
          <w:rFonts w:ascii="Calibri" w:hAnsi="Calibri" w:cs="Calibri"/>
          <w:b/>
          <w:sz w:val="24"/>
          <w:szCs w:val="24"/>
          <w:u w:val="single"/>
        </w:rPr>
        <w:t>LANDLORD</w:t>
      </w:r>
      <w:r w:rsidR="00B1129C" w:rsidRPr="00394A0B">
        <w:rPr>
          <w:rFonts w:ascii="Calibri" w:hAnsi="Calibri" w:cs="Calibri"/>
          <w:b/>
          <w:sz w:val="24"/>
          <w:szCs w:val="24"/>
          <w:u w:val="single"/>
        </w:rPr>
        <w:t>’</w:t>
      </w:r>
      <w:r w:rsidRPr="00394A0B">
        <w:rPr>
          <w:rFonts w:ascii="Calibri" w:hAnsi="Calibri" w:cs="Calibri"/>
          <w:b/>
          <w:sz w:val="24"/>
          <w:szCs w:val="24"/>
          <w:u w:val="single"/>
        </w:rPr>
        <w:t>S SUPPORT TO THE TENANT</w:t>
      </w:r>
    </w:p>
    <w:p w14:paraId="3BACBD20" w14:textId="77777777" w:rsidR="00843069" w:rsidRPr="00394A0B" w:rsidRDefault="001530DC" w:rsidP="00394A0B">
      <w:pPr>
        <w:pStyle w:val="Heading2"/>
      </w:pPr>
      <w:r w:rsidRPr="00394A0B">
        <w:t>B5</w:t>
      </w:r>
      <w:r w:rsidR="00843069" w:rsidRPr="00394A0B">
        <w:t xml:space="preserve"> Assistance in tenant calculations and compliance checks</w:t>
      </w:r>
    </w:p>
    <w:p w14:paraId="11886BA6" w14:textId="04924746" w:rsidR="00A544EC" w:rsidRDefault="003C2E33" w:rsidP="00587942">
      <w:pPr>
        <w:pStyle w:val="ListParagraph"/>
        <w:numPr>
          <w:ilvl w:val="0"/>
          <w:numId w:val="41"/>
        </w:numPr>
        <w:jc w:val="both"/>
      </w:pPr>
      <w:r w:rsidRPr="007A69CF">
        <w:rPr>
          <w:b/>
        </w:rPr>
        <w:t>[Recommended]</w:t>
      </w:r>
      <w:r>
        <w:t xml:space="preserve"> Assistance in assessment of the overall power consumption, including lighting design review, and providing design advice for the Tenants as a part of their fit out / renovation</w:t>
      </w:r>
      <w:r w:rsidR="000A2E0E">
        <w:t>.</w:t>
      </w:r>
    </w:p>
    <w:p w14:paraId="4C9A7FB0" w14:textId="5C7BB981" w:rsidR="004E16E1" w:rsidRDefault="00157C84" w:rsidP="00587942">
      <w:pPr>
        <w:pStyle w:val="ListParagraph"/>
        <w:numPr>
          <w:ilvl w:val="0"/>
          <w:numId w:val="41"/>
        </w:numPr>
        <w:jc w:val="both"/>
      </w:pPr>
      <w:r w:rsidRPr="00A544EC">
        <w:rPr>
          <w:b/>
        </w:rPr>
        <w:t xml:space="preserve">[Recommended] </w:t>
      </w:r>
      <w:r>
        <w:t>Provide support to the tenant during operations to reduce the tenant operational consumption of energy and water.</w:t>
      </w:r>
    </w:p>
    <w:p w14:paraId="24CB6774" w14:textId="77777777" w:rsidR="00B1129C" w:rsidRPr="00394A0B" w:rsidRDefault="00B1129C" w:rsidP="00394A0B">
      <w:pPr>
        <w:pStyle w:val="Heading2"/>
        <w:rPr>
          <w:szCs w:val="24"/>
        </w:rPr>
      </w:pPr>
      <w:r w:rsidRPr="00394A0B">
        <w:rPr>
          <w:szCs w:val="24"/>
        </w:rPr>
        <w:t>B</w:t>
      </w:r>
      <w:r w:rsidR="001530DC" w:rsidRPr="00394A0B">
        <w:rPr>
          <w:szCs w:val="24"/>
        </w:rPr>
        <w:t>6</w:t>
      </w:r>
      <w:r w:rsidRPr="00394A0B">
        <w:rPr>
          <w:szCs w:val="24"/>
        </w:rPr>
        <w:t xml:space="preserve"> Monitoring and reporting of energy, water and waste</w:t>
      </w:r>
    </w:p>
    <w:p w14:paraId="2A4CA063" w14:textId="7AC4F276" w:rsidR="00157C84" w:rsidRDefault="00157C84" w:rsidP="00A544EC">
      <w:pPr>
        <w:pStyle w:val="ListParagraph"/>
        <w:numPr>
          <w:ilvl w:val="0"/>
          <w:numId w:val="54"/>
        </w:numPr>
        <w:jc w:val="both"/>
      </w:pPr>
      <w:r>
        <w:t xml:space="preserve">Provide </w:t>
      </w:r>
      <w:r w:rsidRPr="000727D5">
        <w:rPr>
          <w:highlight w:val="lightGray"/>
        </w:rPr>
        <w:t>&lt;</w:t>
      </w:r>
      <w:r w:rsidRPr="000727D5">
        <w:rPr>
          <w:i/>
          <w:highlight w:val="lightGray"/>
        </w:rPr>
        <w:t>quarterly / annual</w:t>
      </w:r>
      <w:r w:rsidRPr="000727D5">
        <w:rPr>
          <w:highlight w:val="lightGray"/>
        </w:rPr>
        <w:t>&gt;</w:t>
      </w:r>
      <w:r>
        <w:t xml:space="preserve"> assessments of tenant electricity consumption based upon tenant submissions</w:t>
      </w:r>
      <w:r w:rsidR="000A2E0E">
        <w:t>.</w:t>
      </w:r>
    </w:p>
    <w:p w14:paraId="79E3B726" w14:textId="06806199" w:rsidR="001D33E2" w:rsidRDefault="00157C84" w:rsidP="00A544EC">
      <w:pPr>
        <w:pStyle w:val="ListParagraph"/>
        <w:numPr>
          <w:ilvl w:val="0"/>
          <w:numId w:val="54"/>
        </w:numPr>
        <w:jc w:val="both"/>
      </w:pPr>
      <w:r>
        <w:t>Regular monitoring and &lt;</w:t>
      </w:r>
      <w:r w:rsidRPr="000727D5">
        <w:rPr>
          <w:i/>
          <w:highlight w:val="lightGray"/>
        </w:rPr>
        <w:t>quarterly</w:t>
      </w:r>
      <w:r w:rsidR="00727F44" w:rsidRPr="000727D5">
        <w:rPr>
          <w:i/>
          <w:highlight w:val="lightGray"/>
        </w:rPr>
        <w:t xml:space="preserve"> </w:t>
      </w:r>
      <w:r w:rsidRPr="000727D5">
        <w:rPr>
          <w:i/>
          <w:highlight w:val="lightGray"/>
        </w:rPr>
        <w:t>/</w:t>
      </w:r>
      <w:r w:rsidR="00727F44" w:rsidRPr="000727D5">
        <w:rPr>
          <w:i/>
          <w:highlight w:val="lightGray"/>
        </w:rPr>
        <w:t xml:space="preserve"> </w:t>
      </w:r>
      <w:r w:rsidRPr="000727D5">
        <w:rPr>
          <w:i/>
          <w:highlight w:val="lightGray"/>
        </w:rPr>
        <w:t>annual</w:t>
      </w:r>
      <w:r>
        <w:t xml:space="preserve">&gt; reporting of base building water </w:t>
      </w:r>
      <w:proofErr w:type="gramStart"/>
      <w:r>
        <w:t>use</w:t>
      </w:r>
      <w:proofErr w:type="gramEnd"/>
      <w:r>
        <w:t xml:space="preserve"> with target to reduce consumption by &lt;</w:t>
      </w:r>
      <w:r w:rsidRPr="000727D5">
        <w:rPr>
          <w:i/>
          <w:highlight w:val="lightGray"/>
        </w:rPr>
        <w:t>x% or x m</w:t>
      </w:r>
      <w:r w:rsidRPr="000727D5">
        <w:rPr>
          <w:i/>
          <w:highlight w:val="lightGray"/>
          <w:vertAlign w:val="superscript"/>
        </w:rPr>
        <w:t>3</w:t>
      </w:r>
      <w:r w:rsidRPr="000727D5">
        <w:rPr>
          <w:i/>
          <w:highlight w:val="lightGray"/>
        </w:rPr>
        <w:t>/</w:t>
      </w:r>
      <w:proofErr w:type="spellStart"/>
      <w:r w:rsidRPr="000727D5">
        <w:rPr>
          <w:i/>
          <w:highlight w:val="lightGray"/>
        </w:rPr>
        <w:t>yr</w:t>
      </w:r>
      <w:proofErr w:type="spellEnd"/>
      <w:r>
        <w:rPr>
          <w:i/>
        </w:rPr>
        <w:t>&gt;</w:t>
      </w:r>
      <w:r w:rsidR="00E145DD">
        <w:rPr>
          <w:i/>
        </w:rPr>
        <w:t>.</w:t>
      </w:r>
    </w:p>
    <w:p w14:paraId="375B9092" w14:textId="16B8788F" w:rsidR="00157C84" w:rsidRDefault="00157C84" w:rsidP="00A544EC">
      <w:pPr>
        <w:pStyle w:val="ListParagraph"/>
        <w:numPr>
          <w:ilvl w:val="0"/>
          <w:numId w:val="54"/>
        </w:numPr>
        <w:jc w:val="both"/>
      </w:pPr>
      <w:r>
        <w:t>Regular reporting to tenants on the building’s environmental performance, building rating system achievements and progress on other targets set. Publish an annual report on Tenant Environmental Performance and Base building performance</w:t>
      </w:r>
      <w:r w:rsidR="00192870">
        <w:t xml:space="preserve"> and communicate the results </w:t>
      </w:r>
      <w:r w:rsidR="004E16E1">
        <w:t>to</w:t>
      </w:r>
      <w:r w:rsidR="00192870">
        <w:t xml:space="preserve"> tenants.</w:t>
      </w:r>
    </w:p>
    <w:p w14:paraId="240BAB4C" w14:textId="1798CF98" w:rsidR="00411CC0" w:rsidRDefault="001530DC" w:rsidP="00A544EC">
      <w:pPr>
        <w:pStyle w:val="ListParagraph"/>
        <w:numPr>
          <w:ilvl w:val="0"/>
          <w:numId w:val="54"/>
        </w:numPr>
        <w:jc w:val="both"/>
      </w:pPr>
      <w:r>
        <w:rPr>
          <w:b/>
        </w:rPr>
        <w:lastRenderedPageBreak/>
        <w:t xml:space="preserve">[Recommended] </w:t>
      </w:r>
      <w:r w:rsidR="001D33E2">
        <w:t xml:space="preserve">Provide weighing services for tenants to weigh their waste to be disposed of as well as recyclables to be sent for recycling. Weight data to be fed into a system for tracking of individual tenant’s generation of waste/recyclables for subsequent engagement if necessary. </w:t>
      </w:r>
      <w:r>
        <w:t xml:space="preserve">Regular monitoring and </w:t>
      </w:r>
      <w:r w:rsidR="002F13BD" w:rsidRPr="003D70EC">
        <w:rPr>
          <w:i/>
          <w:iCs/>
        </w:rPr>
        <w:t>&lt;</w:t>
      </w:r>
      <w:r w:rsidR="002F13BD" w:rsidRPr="000727D5">
        <w:rPr>
          <w:i/>
          <w:iCs/>
          <w:highlight w:val="lightGray"/>
        </w:rPr>
        <w:t>quarterly</w:t>
      </w:r>
      <w:r w:rsidR="002F13BD" w:rsidRPr="00394A0B">
        <w:rPr>
          <w:i/>
          <w:iCs/>
        </w:rPr>
        <w:t>&gt;</w:t>
      </w:r>
      <w:r w:rsidR="002F13BD">
        <w:t xml:space="preserve"> </w:t>
      </w:r>
      <w:r>
        <w:t xml:space="preserve">reporting of tenant operations to identify opportunities to eliminate waste and maximise </w:t>
      </w:r>
      <w:r w:rsidR="00AA2B0B">
        <w:t>reuse/</w:t>
      </w:r>
      <w:r>
        <w:t>recycling.</w:t>
      </w:r>
    </w:p>
    <w:p w14:paraId="2765DF9C" w14:textId="7C2284C8" w:rsidR="00B1129C" w:rsidRPr="00394A0B" w:rsidRDefault="001530DC" w:rsidP="00394A0B">
      <w:pPr>
        <w:pStyle w:val="Heading2"/>
        <w:rPr>
          <w:szCs w:val="24"/>
        </w:rPr>
      </w:pPr>
      <w:r w:rsidRPr="00394A0B">
        <w:rPr>
          <w:szCs w:val="24"/>
        </w:rPr>
        <w:t>B7</w:t>
      </w:r>
      <w:r w:rsidR="00B1129C" w:rsidRPr="00394A0B">
        <w:rPr>
          <w:szCs w:val="24"/>
        </w:rPr>
        <w:t xml:space="preserve"> Tenant </w:t>
      </w:r>
      <w:r w:rsidR="00157C84" w:rsidRPr="00394A0B">
        <w:rPr>
          <w:szCs w:val="24"/>
        </w:rPr>
        <w:t>engagement</w:t>
      </w:r>
      <w:r w:rsidR="00B1129C" w:rsidRPr="00394A0B">
        <w:rPr>
          <w:szCs w:val="24"/>
        </w:rPr>
        <w:t xml:space="preserve"> and e</w:t>
      </w:r>
      <w:r w:rsidR="00157C84" w:rsidRPr="00394A0B">
        <w:rPr>
          <w:szCs w:val="24"/>
        </w:rPr>
        <w:t>duca</w:t>
      </w:r>
      <w:r w:rsidR="00B1129C" w:rsidRPr="00394A0B">
        <w:rPr>
          <w:szCs w:val="24"/>
        </w:rPr>
        <w:t>t</w:t>
      </w:r>
      <w:r w:rsidR="00157C84" w:rsidRPr="00394A0B">
        <w:rPr>
          <w:szCs w:val="24"/>
        </w:rPr>
        <w:t>ion</w:t>
      </w:r>
      <w:r w:rsidR="00B1129C" w:rsidRPr="00394A0B">
        <w:rPr>
          <w:szCs w:val="24"/>
        </w:rPr>
        <w:t xml:space="preserve"> programmes</w:t>
      </w:r>
    </w:p>
    <w:p w14:paraId="0A40392B" w14:textId="38FD3681" w:rsidR="00157C84" w:rsidRDefault="00157C84" w:rsidP="00CB6A5E">
      <w:pPr>
        <w:pStyle w:val="ListParagraph"/>
        <w:numPr>
          <w:ilvl w:val="0"/>
          <w:numId w:val="46"/>
        </w:numPr>
        <w:jc w:val="both"/>
      </w:pPr>
      <w:r>
        <w:rPr>
          <w:b/>
        </w:rPr>
        <w:t xml:space="preserve">[Recommended] </w:t>
      </w:r>
      <w:r>
        <w:t>An active Building Management committee representative of the tenants and the landlord (see Section E)</w:t>
      </w:r>
      <w:r w:rsidR="002B1E94">
        <w:t>.</w:t>
      </w:r>
    </w:p>
    <w:p w14:paraId="5CDDE3C3" w14:textId="49472452" w:rsidR="00157C84" w:rsidRDefault="004E16E1" w:rsidP="00CB6A5E">
      <w:pPr>
        <w:pStyle w:val="ListParagraph"/>
        <w:numPr>
          <w:ilvl w:val="0"/>
          <w:numId w:val="46"/>
        </w:numPr>
        <w:jc w:val="both"/>
      </w:pPr>
      <w:r>
        <w:t>Conduct annual s</w:t>
      </w:r>
      <w:r w:rsidR="00157C84">
        <w:t xml:space="preserve">ustainability education programme to the building occupants and Facilities managers. </w:t>
      </w:r>
    </w:p>
    <w:p w14:paraId="47779212" w14:textId="0153BDAC" w:rsidR="00B035B1" w:rsidRDefault="00157C84" w:rsidP="00CB6A5E">
      <w:pPr>
        <w:pStyle w:val="ListParagraph"/>
        <w:numPr>
          <w:ilvl w:val="0"/>
          <w:numId w:val="46"/>
        </w:numPr>
        <w:jc w:val="both"/>
      </w:pPr>
      <w:r>
        <w:t>Formal mechanisms for gathering tenant feedback (including thermal comfort)</w:t>
      </w:r>
      <w:r w:rsidR="00435826">
        <w:t>.</w:t>
      </w:r>
    </w:p>
    <w:p w14:paraId="3ECC1E64" w14:textId="77777777" w:rsidR="00FD26CF" w:rsidRDefault="00FD26CF" w:rsidP="00843069">
      <w:pPr>
        <w:jc w:val="both"/>
        <w:rPr>
          <w:rFonts w:ascii="Calibri" w:hAnsi="Calibri" w:cs="Calibri"/>
          <w:b/>
          <w:sz w:val="24"/>
          <w:u w:val="single"/>
        </w:rPr>
      </w:pPr>
    </w:p>
    <w:p w14:paraId="512B9B66" w14:textId="4B2753F1" w:rsidR="00843069" w:rsidRPr="00394A0B" w:rsidRDefault="00843069" w:rsidP="00843069">
      <w:pPr>
        <w:jc w:val="both"/>
        <w:rPr>
          <w:rFonts w:ascii="Calibri" w:hAnsi="Calibri" w:cs="Calibri"/>
          <w:b/>
          <w:sz w:val="24"/>
          <w:u w:val="single"/>
        </w:rPr>
      </w:pPr>
      <w:r w:rsidRPr="00394A0B">
        <w:rPr>
          <w:rFonts w:ascii="Calibri" w:hAnsi="Calibri" w:cs="Calibri"/>
          <w:b/>
          <w:sz w:val="24"/>
          <w:u w:val="single"/>
        </w:rPr>
        <w:t>GOOD PRACTICES</w:t>
      </w:r>
    </w:p>
    <w:p w14:paraId="758D7664" w14:textId="77777777" w:rsidR="003E5C5F" w:rsidRPr="00394A0B" w:rsidRDefault="003E5C5F" w:rsidP="00394A0B">
      <w:pPr>
        <w:pStyle w:val="Heading2"/>
      </w:pPr>
      <w:r w:rsidRPr="00394A0B">
        <w:t>B8 Haze resilience and IAQ measures</w:t>
      </w:r>
    </w:p>
    <w:p w14:paraId="32DFF2B6" w14:textId="0E7013C6" w:rsidR="0047327B" w:rsidRDefault="0047327B" w:rsidP="003E5C5F">
      <w:pPr>
        <w:pStyle w:val="ListParagraph"/>
        <w:numPr>
          <w:ilvl w:val="0"/>
          <w:numId w:val="35"/>
        </w:numPr>
        <w:jc w:val="both"/>
      </w:pPr>
      <w:r>
        <w:rPr>
          <w:b/>
        </w:rPr>
        <w:t xml:space="preserve">[Recommended] </w:t>
      </w:r>
      <w:r>
        <w:t xml:space="preserve">Buildings </w:t>
      </w:r>
      <w:r w:rsidR="00A540A0">
        <w:t xml:space="preserve">outdoor </w:t>
      </w:r>
      <w:r>
        <w:t>air treatment to be retrofitted to be ‘haze’ resilient, or strategies utilised to minimise exposure to fine particulates (</w:t>
      </w:r>
      <w:r w:rsidR="00A540A0">
        <w:rPr>
          <w:rFonts w:cstheme="minorHAnsi"/>
        </w:rPr>
        <w:t>≤</w:t>
      </w:r>
      <w:r>
        <w:t>PM 2.5)</w:t>
      </w:r>
      <w:r w:rsidR="00435826">
        <w:t>.</w:t>
      </w:r>
    </w:p>
    <w:p w14:paraId="546EF114" w14:textId="702A517E" w:rsidR="0047327B" w:rsidRDefault="0047327B" w:rsidP="0047327B">
      <w:pPr>
        <w:pStyle w:val="ListParagraph"/>
        <w:numPr>
          <w:ilvl w:val="0"/>
          <w:numId w:val="35"/>
        </w:numPr>
        <w:jc w:val="both"/>
      </w:pPr>
      <w:r>
        <w:t xml:space="preserve">Monitoring systems to ensure optimal thermal and indoor air quality </w:t>
      </w:r>
      <w:r w:rsidR="000E439D">
        <w:t xml:space="preserve">standards as set out in </w:t>
      </w:r>
      <w:r w:rsidRPr="00F1464B">
        <w:rPr>
          <w:b/>
        </w:rPr>
        <w:t>SS 554:</w:t>
      </w:r>
      <w:r w:rsidR="008B6251">
        <w:rPr>
          <w:b/>
        </w:rPr>
        <w:t xml:space="preserve"> 2016</w:t>
      </w:r>
      <w:r w:rsidR="008B6251">
        <w:t xml:space="preserve"> </w:t>
      </w:r>
      <w:r>
        <w:t xml:space="preserve">or </w:t>
      </w:r>
      <w:r w:rsidR="000E439D">
        <w:t xml:space="preserve">prevailing </w:t>
      </w:r>
      <w:r>
        <w:t>standards</w:t>
      </w:r>
      <w:r w:rsidR="00435826">
        <w:t>.</w:t>
      </w:r>
    </w:p>
    <w:p w14:paraId="3F23789D" w14:textId="3CBADE76" w:rsidR="0047327B" w:rsidRDefault="0047327B" w:rsidP="0047327B">
      <w:pPr>
        <w:pStyle w:val="ListParagraph"/>
        <w:numPr>
          <w:ilvl w:val="0"/>
          <w:numId w:val="35"/>
        </w:numPr>
        <w:jc w:val="both"/>
      </w:pPr>
      <w:r>
        <w:t xml:space="preserve">Ventilation and </w:t>
      </w:r>
      <w:r w:rsidR="00911110">
        <w:t>a</w:t>
      </w:r>
      <w:r>
        <w:t xml:space="preserve">ir conditioning systems to be regularly </w:t>
      </w:r>
      <w:r w:rsidR="00A540A0">
        <w:t>inspected</w:t>
      </w:r>
      <w:r w:rsidR="00DE6AEB">
        <w:t>, cleaned</w:t>
      </w:r>
      <w:r w:rsidR="00A540A0">
        <w:t xml:space="preserve"> and maintained to ensure </w:t>
      </w:r>
      <w:r w:rsidR="00DE6AEB">
        <w:t>the required</w:t>
      </w:r>
      <w:r w:rsidR="00A540A0">
        <w:t xml:space="preserve"> ventilation provision </w:t>
      </w:r>
      <w:r w:rsidR="00DE6AEB">
        <w:t xml:space="preserve">into occupiable spaces in a building </w:t>
      </w:r>
      <w:r w:rsidR="00A540A0">
        <w:t>according to SS553:2016</w:t>
      </w:r>
      <w:r w:rsidR="00170824">
        <w:t xml:space="preserve"> or prevailing standards</w:t>
      </w:r>
      <w:r>
        <w:t>.</w:t>
      </w:r>
    </w:p>
    <w:p w14:paraId="4ED6EB89" w14:textId="2445A806" w:rsidR="0047327B" w:rsidRDefault="0047327B" w:rsidP="0047327B">
      <w:pPr>
        <w:pStyle w:val="ListParagraph"/>
        <w:numPr>
          <w:ilvl w:val="0"/>
          <w:numId w:val="35"/>
        </w:numPr>
        <w:jc w:val="both"/>
      </w:pPr>
      <w:r>
        <w:t xml:space="preserve">Indoor CO2 levels compared to outdoor CO2 levels of not greater than 700 Parts Per Million (“PPM”) measured in accordance with SS 554: </w:t>
      </w:r>
      <w:r w:rsidR="008B6251">
        <w:t>2016</w:t>
      </w:r>
      <w:r>
        <w:t xml:space="preserve"> or </w:t>
      </w:r>
      <w:r w:rsidR="00911110">
        <w:t xml:space="preserve">prevailing </w:t>
      </w:r>
      <w:r>
        <w:t xml:space="preserve">standard as it may be amended or replaced from time to time. </w:t>
      </w:r>
    </w:p>
    <w:p w14:paraId="2616D212" w14:textId="1F4BC1BA" w:rsidR="00B1129C" w:rsidRPr="00394A0B" w:rsidRDefault="00B1129C" w:rsidP="00394A0B">
      <w:pPr>
        <w:pStyle w:val="Heading2"/>
      </w:pPr>
      <w:r w:rsidRPr="00394A0B">
        <w:t>B</w:t>
      </w:r>
      <w:r w:rsidR="00C41DB2">
        <w:t>9</w:t>
      </w:r>
      <w:r w:rsidRPr="00394A0B">
        <w:t xml:space="preserve"> Base building control systems and calibrated monitoring</w:t>
      </w:r>
    </w:p>
    <w:p w14:paraId="5485B436" w14:textId="1898548B" w:rsidR="0047327B" w:rsidRPr="0014360E" w:rsidRDefault="0047327B" w:rsidP="0047327B">
      <w:pPr>
        <w:pStyle w:val="ListParagraph"/>
        <w:numPr>
          <w:ilvl w:val="0"/>
          <w:numId w:val="43"/>
        </w:numPr>
        <w:jc w:val="both"/>
        <w:rPr>
          <w:rFonts w:cstheme="minorHAnsi"/>
        </w:rPr>
      </w:pPr>
      <w:r w:rsidRPr="0014360E">
        <w:rPr>
          <w:rFonts w:cstheme="minorHAnsi"/>
        </w:rPr>
        <w:t>Regular maintenance and recalibration of base building services (such as photo-sensors, motion sensors and CO2 sensors, dampers, VSD’s / VFD’s where utilised)</w:t>
      </w:r>
      <w:r w:rsidR="00435826">
        <w:rPr>
          <w:rFonts w:cstheme="minorHAnsi"/>
        </w:rPr>
        <w:t>.</w:t>
      </w:r>
    </w:p>
    <w:p w14:paraId="285F53E2" w14:textId="3853C45A" w:rsidR="0047327B" w:rsidRPr="0014360E" w:rsidRDefault="00DD3F64" w:rsidP="0047327B">
      <w:pPr>
        <w:pStyle w:val="ListParagraph"/>
        <w:numPr>
          <w:ilvl w:val="0"/>
          <w:numId w:val="43"/>
        </w:numPr>
        <w:jc w:val="both"/>
        <w:rPr>
          <w:rFonts w:cstheme="minorHAnsi"/>
        </w:rPr>
      </w:pPr>
      <w:r>
        <w:rPr>
          <w:rFonts w:cstheme="minorHAnsi"/>
        </w:rPr>
        <w:t>Building Management System (BMS)</w:t>
      </w:r>
      <w:r w:rsidRPr="0014360E">
        <w:rPr>
          <w:rFonts w:cstheme="minorHAnsi"/>
        </w:rPr>
        <w:t xml:space="preserve"> </w:t>
      </w:r>
      <w:r w:rsidR="0047327B" w:rsidRPr="0014360E">
        <w:rPr>
          <w:rFonts w:cstheme="minorHAnsi"/>
        </w:rPr>
        <w:t>system regularly calibrated to effectively control, monitor and optimise the building’s mechanical and electrical equipment including (but not limited to) ventilation systems, lighting, power systems, and fire systems.</w:t>
      </w:r>
    </w:p>
    <w:p w14:paraId="6C21DDE4" w14:textId="77777777" w:rsidR="0047327B" w:rsidRPr="0014360E" w:rsidRDefault="00157C84" w:rsidP="00B1129C">
      <w:pPr>
        <w:pStyle w:val="ListParagraph"/>
        <w:numPr>
          <w:ilvl w:val="0"/>
          <w:numId w:val="43"/>
        </w:numPr>
        <w:jc w:val="both"/>
        <w:rPr>
          <w:rFonts w:cstheme="minorHAnsi"/>
          <w:u w:val="single"/>
        </w:rPr>
      </w:pPr>
      <w:r w:rsidRPr="0014360E">
        <w:rPr>
          <w:rFonts w:cstheme="minorHAnsi"/>
        </w:rPr>
        <w:t xml:space="preserve">Implement a fault reporting and monitoring system to allow staff and tenants to report faults and water leaks </w:t>
      </w:r>
      <w:proofErr w:type="gramStart"/>
      <w:r w:rsidRPr="0014360E">
        <w:rPr>
          <w:rFonts w:cstheme="minorHAnsi"/>
        </w:rPr>
        <w:t>and also</w:t>
      </w:r>
      <w:proofErr w:type="gramEnd"/>
      <w:r w:rsidRPr="0014360E">
        <w:rPr>
          <w:rFonts w:cstheme="minorHAnsi"/>
        </w:rPr>
        <w:t xml:space="preserve"> conduct regular inspections for water leaks and other base building performance issues.</w:t>
      </w:r>
    </w:p>
    <w:p w14:paraId="47797B78" w14:textId="13179452" w:rsidR="00157C84" w:rsidRPr="00394A0B" w:rsidRDefault="00157C84" w:rsidP="00394A0B">
      <w:pPr>
        <w:pStyle w:val="Heading2"/>
      </w:pPr>
      <w:r w:rsidRPr="00394A0B">
        <w:lastRenderedPageBreak/>
        <w:t>B</w:t>
      </w:r>
      <w:r w:rsidR="001530DC" w:rsidRPr="00394A0B">
        <w:t>1</w:t>
      </w:r>
      <w:r w:rsidR="00C41DB2">
        <w:t>0</w:t>
      </w:r>
      <w:r w:rsidRPr="00394A0B">
        <w:t xml:space="preserve"> Cleaning Services</w:t>
      </w:r>
    </w:p>
    <w:p w14:paraId="07479A5F" w14:textId="0DA1DF22" w:rsidR="005B61D3" w:rsidRPr="00CE7463" w:rsidRDefault="00157C84">
      <w:pPr>
        <w:pStyle w:val="ListParagraph"/>
        <w:numPr>
          <w:ilvl w:val="0"/>
          <w:numId w:val="20"/>
        </w:numPr>
        <w:jc w:val="both"/>
        <w:rPr>
          <w:rFonts w:cstheme="minorHAnsi"/>
        </w:rPr>
      </w:pPr>
      <w:r w:rsidRPr="0014360E">
        <w:rPr>
          <w:rFonts w:cstheme="minorHAnsi"/>
          <w:b/>
        </w:rPr>
        <w:t xml:space="preserve">[Recommended] </w:t>
      </w:r>
      <w:r w:rsidRPr="0014360E">
        <w:rPr>
          <w:rFonts w:cstheme="minorHAnsi"/>
        </w:rPr>
        <w:t xml:space="preserve">Cleaning contract to stipulate the use of natural, solvent free and hydrocarbon free cleaning products labelled where applicable </w:t>
      </w:r>
      <w:r w:rsidR="005B61D3">
        <w:rPr>
          <w:rFonts w:cstheme="minorHAnsi"/>
        </w:rPr>
        <w:t xml:space="preserve">certified </w:t>
      </w:r>
      <w:r w:rsidR="00C92478">
        <w:t>with at least SGBP 2 ticks or equivalent by local certification bodies</w:t>
      </w:r>
      <w:r w:rsidRPr="0014360E">
        <w:rPr>
          <w:rFonts w:cstheme="minorHAnsi"/>
        </w:rPr>
        <w:t>.</w:t>
      </w:r>
      <w:r w:rsidR="005B61D3" w:rsidRPr="0064016D" w:rsidDel="0064016D">
        <w:t xml:space="preserve"> </w:t>
      </w:r>
    </w:p>
    <w:p w14:paraId="71C90C1E" w14:textId="19366016" w:rsidR="00CB74A3" w:rsidRPr="00CB74A3" w:rsidRDefault="00CB74A3" w:rsidP="00CB74A3">
      <w:pPr>
        <w:pStyle w:val="ListParagraph"/>
        <w:numPr>
          <w:ilvl w:val="0"/>
          <w:numId w:val="20"/>
        </w:numPr>
        <w:jc w:val="both"/>
        <w:rPr>
          <w:rFonts w:cstheme="minorHAnsi"/>
        </w:rPr>
      </w:pPr>
      <w:r w:rsidRPr="00394A0B">
        <w:rPr>
          <w:rFonts w:cstheme="minorHAnsi"/>
          <w:b/>
          <w:bCs/>
        </w:rPr>
        <w:t>[Recommended]</w:t>
      </w:r>
      <w:r>
        <w:rPr>
          <w:rFonts w:cstheme="minorHAnsi"/>
        </w:rPr>
        <w:t xml:space="preserve"> Use of NEA-</w:t>
      </w:r>
      <w:r w:rsidR="00557B5F">
        <w:rPr>
          <w:rFonts w:cstheme="minorHAnsi"/>
        </w:rPr>
        <w:t>registered</w:t>
      </w:r>
      <w:r>
        <w:rPr>
          <w:rFonts w:cstheme="minorHAnsi"/>
        </w:rPr>
        <w:t xml:space="preserve"> pesticides and vector control products which are suitable for indoor use.</w:t>
      </w:r>
    </w:p>
    <w:p w14:paraId="1BA6AD6E" w14:textId="70B884BC" w:rsidR="00157C84" w:rsidRPr="0014360E" w:rsidRDefault="00157C84" w:rsidP="00157C84">
      <w:pPr>
        <w:pStyle w:val="ListParagraph"/>
        <w:numPr>
          <w:ilvl w:val="0"/>
          <w:numId w:val="20"/>
        </w:numPr>
        <w:jc w:val="both"/>
        <w:rPr>
          <w:rFonts w:cstheme="minorHAnsi"/>
        </w:rPr>
      </w:pPr>
      <w:r w:rsidRPr="0014360E">
        <w:rPr>
          <w:rFonts w:cstheme="minorHAnsi"/>
        </w:rPr>
        <w:t>Use of low environmental impact disposable janitorial paper and rubbish bags.</w:t>
      </w:r>
    </w:p>
    <w:p w14:paraId="64581B9E" w14:textId="77777777" w:rsidR="00157C84" w:rsidRPr="0014360E" w:rsidRDefault="00157C84" w:rsidP="00157C84">
      <w:pPr>
        <w:pStyle w:val="ListParagraph"/>
        <w:numPr>
          <w:ilvl w:val="0"/>
          <w:numId w:val="20"/>
        </w:numPr>
        <w:jc w:val="both"/>
        <w:rPr>
          <w:rFonts w:cstheme="minorHAnsi"/>
        </w:rPr>
      </w:pPr>
      <w:r w:rsidRPr="0014360E">
        <w:rPr>
          <w:rFonts w:cstheme="minorHAnsi"/>
        </w:rPr>
        <w:t xml:space="preserve">Building exterior and hardscape maintenance contracts specify environmentally sensitive and low impact practices, including </w:t>
      </w:r>
      <w:r w:rsidR="00A050A0" w:rsidRPr="0014360E">
        <w:rPr>
          <w:rFonts w:cstheme="minorHAnsi"/>
        </w:rPr>
        <w:t>non-</w:t>
      </w:r>
      <w:r w:rsidR="00A050A0">
        <w:rPr>
          <w:rFonts w:cstheme="minorHAnsi"/>
        </w:rPr>
        <w:t xml:space="preserve">toxic, non-hazardous </w:t>
      </w:r>
      <w:r w:rsidR="00A050A0" w:rsidRPr="0014360E">
        <w:rPr>
          <w:rFonts w:cstheme="minorHAnsi"/>
        </w:rPr>
        <w:t>pest</w:t>
      </w:r>
      <w:r w:rsidRPr="0014360E">
        <w:rPr>
          <w:rFonts w:cstheme="minorHAnsi"/>
        </w:rPr>
        <w:t xml:space="preserve"> control measures.</w:t>
      </w:r>
    </w:p>
    <w:p w14:paraId="23286141" w14:textId="79524CF3" w:rsidR="00157C84" w:rsidRPr="0014360E" w:rsidRDefault="00157C84" w:rsidP="00157C84">
      <w:pPr>
        <w:pStyle w:val="ListParagraph"/>
        <w:numPr>
          <w:ilvl w:val="0"/>
          <w:numId w:val="20"/>
        </w:numPr>
        <w:jc w:val="both"/>
        <w:rPr>
          <w:rFonts w:cstheme="minorHAnsi"/>
        </w:rPr>
      </w:pPr>
      <w:r w:rsidRPr="0014360E">
        <w:rPr>
          <w:rFonts w:cstheme="minorHAnsi"/>
        </w:rPr>
        <w:t xml:space="preserve">Training programmes for cleaners </w:t>
      </w:r>
      <w:proofErr w:type="gramStart"/>
      <w:r w:rsidRPr="0014360E">
        <w:rPr>
          <w:rFonts w:cstheme="minorHAnsi"/>
        </w:rPr>
        <w:t>with regard to</w:t>
      </w:r>
      <w:proofErr w:type="gramEnd"/>
      <w:r w:rsidRPr="0014360E">
        <w:rPr>
          <w:rFonts w:cstheme="minorHAnsi"/>
        </w:rPr>
        <w:t xml:space="preserve"> specialist features (e.g. waterless urinals)</w:t>
      </w:r>
      <w:r w:rsidR="00483569">
        <w:rPr>
          <w:rFonts w:cstheme="minorHAnsi"/>
        </w:rPr>
        <w:t>.</w:t>
      </w:r>
    </w:p>
    <w:p w14:paraId="5E6FA099" w14:textId="0B123CA4" w:rsidR="00991D74" w:rsidRPr="00394A0B" w:rsidRDefault="009B0A1C" w:rsidP="00394A0B">
      <w:pPr>
        <w:pStyle w:val="Heading2"/>
      </w:pPr>
      <w:r w:rsidRPr="00394A0B">
        <w:t>B</w:t>
      </w:r>
      <w:r w:rsidR="001530DC" w:rsidRPr="00394A0B">
        <w:t>1</w:t>
      </w:r>
      <w:r w:rsidR="00C41DB2">
        <w:t>1</w:t>
      </w:r>
      <w:r w:rsidR="00881538" w:rsidRPr="00394A0B">
        <w:t xml:space="preserve"> </w:t>
      </w:r>
      <w:r w:rsidR="00991D74" w:rsidRPr="00394A0B">
        <w:t>Reducing Car Dependency</w:t>
      </w:r>
    </w:p>
    <w:p w14:paraId="7B70ECBD" w14:textId="6EDED868" w:rsidR="00991D74" w:rsidRPr="0014360E" w:rsidRDefault="00F1464B" w:rsidP="00587942">
      <w:pPr>
        <w:pStyle w:val="ListParagraph"/>
        <w:numPr>
          <w:ilvl w:val="0"/>
          <w:numId w:val="22"/>
        </w:numPr>
        <w:jc w:val="both"/>
        <w:rPr>
          <w:rFonts w:cstheme="minorHAnsi"/>
        </w:rPr>
      </w:pPr>
      <w:r w:rsidRPr="0014360E">
        <w:rPr>
          <w:rFonts w:cstheme="minorHAnsi"/>
        </w:rPr>
        <w:t>Adequate provision of secure and sheltered bicycle</w:t>
      </w:r>
      <w:r w:rsidR="00991D74" w:rsidRPr="0014360E">
        <w:rPr>
          <w:rFonts w:cstheme="minorHAnsi"/>
        </w:rPr>
        <w:t xml:space="preserve"> storage</w:t>
      </w:r>
      <w:r w:rsidR="00483569">
        <w:rPr>
          <w:rFonts w:cstheme="minorHAnsi"/>
        </w:rPr>
        <w:t>.</w:t>
      </w:r>
    </w:p>
    <w:p w14:paraId="363702BA" w14:textId="762103B7" w:rsidR="00991D74" w:rsidRPr="0014360E" w:rsidRDefault="00991D74" w:rsidP="00587942">
      <w:pPr>
        <w:pStyle w:val="ListParagraph"/>
        <w:numPr>
          <w:ilvl w:val="0"/>
          <w:numId w:val="22"/>
        </w:numPr>
        <w:jc w:val="both"/>
        <w:rPr>
          <w:rFonts w:cstheme="minorHAnsi"/>
        </w:rPr>
      </w:pPr>
      <w:r w:rsidRPr="0014360E">
        <w:rPr>
          <w:rFonts w:cstheme="minorHAnsi"/>
        </w:rPr>
        <w:t>Showers, changing rooms and lockers for cyclists</w:t>
      </w:r>
      <w:r w:rsidR="00483569">
        <w:rPr>
          <w:rFonts w:cstheme="minorHAnsi"/>
        </w:rPr>
        <w:t>.</w:t>
      </w:r>
    </w:p>
    <w:p w14:paraId="77705AFB" w14:textId="6B988015" w:rsidR="00991D74" w:rsidRPr="0014360E" w:rsidRDefault="00F1464B" w:rsidP="00587942">
      <w:pPr>
        <w:pStyle w:val="ListParagraph"/>
        <w:numPr>
          <w:ilvl w:val="0"/>
          <w:numId w:val="22"/>
        </w:numPr>
        <w:jc w:val="both"/>
        <w:rPr>
          <w:rFonts w:cstheme="minorHAnsi"/>
        </w:rPr>
      </w:pPr>
      <w:r w:rsidRPr="0014360E">
        <w:rPr>
          <w:rFonts w:cstheme="minorHAnsi"/>
        </w:rPr>
        <w:t>For sites with limited access to public transport, provision for shuttle services to nearby transport nodes</w:t>
      </w:r>
      <w:r w:rsidR="00483569">
        <w:rPr>
          <w:rFonts w:cstheme="minorHAnsi"/>
        </w:rPr>
        <w:t>.</w:t>
      </w:r>
    </w:p>
    <w:p w14:paraId="2C5F3EFA" w14:textId="77777777" w:rsidR="001530DC" w:rsidRDefault="001530DC">
      <w:pPr>
        <w:rPr>
          <w:rFonts w:ascii="Cambria" w:hAnsi="Cambria"/>
          <w:b/>
          <w:sz w:val="28"/>
          <w:szCs w:val="28"/>
        </w:rPr>
      </w:pPr>
      <w:r>
        <w:rPr>
          <w:rFonts w:ascii="Cambria" w:hAnsi="Cambria"/>
          <w:b/>
          <w:sz w:val="28"/>
          <w:szCs w:val="28"/>
        </w:rPr>
        <w:br w:type="page"/>
      </w:r>
    </w:p>
    <w:p w14:paraId="5CFFD6F5" w14:textId="77777777" w:rsidR="00687954" w:rsidRPr="00687954" w:rsidRDefault="00687954" w:rsidP="00394A0B">
      <w:pPr>
        <w:pStyle w:val="Heading1"/>
      </w:pPr>
      <w:bookmarkStart w:id="6" w:name="_Toc73527099"/>
      <w:r w:rsidRPr="00687954">
        <w:lastRenderedPageBreak/>
        <w:t xml:space="preserve">Section </w:t>
      </w:r>
      <w:r w:rsidR="000334B1">
        <w:t>C</w:t>
      </w:r>
      <w:r w:rsidRPr="00687954">
        <w:t>:</w:t>
      </w:r>
      <w:r w:rsidR="00B2368F">
        <w:t xml:space="preserve"> Suggested</w:t>
      </w:r>
      <w:r w:rsidRPr="00687954">
        <w:t xml:space="preserve"> Minimum Standards</w:t>
      </w:r>
      <w:r w:rsidR="00B2368F">
        <w:t xml:space="preserve"> (Tenants)</w:t>
      </w:r>
      <w:bookmarkEnd w:id="6"/>
    </w:p>
    <w:p w14:paraId="5DE6628C" w14:textId="55AD1D78" w:rsidR="009306DD" w:rsidRDefault="009306DD" w:rsidP="00587942">
      <w:pPr>
        <w:jc w:val="both"/>
        <w:rPr>
          <w:i/>
        </w:rPr>
      </w:pPr>
      <w:r>
        <w:rPr>
          <w:i/>
        </w:rPr>
        <w:t>This section details the key ingredients that should be considered as a part of the green lease adoption. Performance requirements should be tailored for the tenant’s context.</w:t>
      </w:r>
      <w:r w:rsidRPr="009306DD">
        <w:rPr>
          <w:i/>
        </w:rPr>
        <w:t xml:space="preserve"> </w:t>
      </w:r>
    </w:p>
    <w:p w14:paraId="6A5F8420" w14:textId="7FCE8C13" w:rsidR="006E310D" w:rsidRPr="009306DD" w:rsidRDefault="006E310D" w:rsidP="00587942">
      <w:pPr>
        <w:jc w:val="both"/>
        <w:rPr>
          <w:i/>
        </w:rPr>
      </w:pPr>
      <w:r w:rsidRPr="009306DD">
        <w:rPr>
          <w:i/>
        </w:rPr>
        <w:t xml:space="preserve">The tenant </w:t>
      </w:r>
      <w:r w:rsidR="009306DD">
        <w:rPr>
          <w:i/>
        </w:rPr>
        <w:t>shall</w:t>
      </w:r>
      <w:r w:rsidRPr="009306DD">
        <w:rPr>
          <w:i/>
        </w:rPr>
        <w:t xml:space="preserve"> share responsibility in the building’s sustainability objectives through participation within the Building Management Committee. </w:t>
      </w:r>
      <w:r w:rsidR="009306DD" w:rsidRPr="009306DD">
        <w:rPr>
          <w:i/>
        </w:rPr>
        <w:t>T</w:t>
      </w:r>
      <w:r w:rsidRPr="009306DD">
        <w:rPr>
          <w:i/>
        </w:rPr>
        <w:t>he extent of this</w:t>
      </w:r>
      <w:r w:rsidR="009306DD">
        <w:rPr>
          <w:i/>
        </w:rPr>
        <w:t xml:space="preserve"> committee and involvement</w:t>
      </w:r>
      <w:r w:rsidRPr="009306DD">
        <w:rPr>
          <w:i/>
        </w:rPr>
        <w:t xml:space="preserve"> will vary dependant on building and tenant </w:t>
      </w:r>
      <w:r w:rsidR="009306DD" w:rsidRPr="009306DD">
        <w:rPr>
          <w:i/>
        </w:rPr>
        <w:t>mix</w:t>
      </w:r>
      <w:r w:rsidR="009306DD">
        <w:rPr>
          <w:i/>
        </w:rPr>
        <w:t>.</w:t>
      </w:r>
      <w:r w:rsidR="009306DD" w:rsidRPr="009306DD">
        <w:rPr>
          <w:i/>
        </w:rPr>
        <w:t xml:space="preserve"> (Reference should be paid to ‘Section E’ of this schedule</w:t>
      </w:r>
      <w:r w:rsidR="009306DD">
        <w:rPr>
          <w:i/>
        </w:rPr>
        <w:t>)</w:t>
      </w:r>
      <w:r w:rsidR="006D7F0E">
        <w:rPr>
          <w:i/>
        </w:rPr>
        <w:t>.</w:t>
      </w:r>
    </w:p>
    <w:p w14:paraId="6D5CB5B6" w14:textId="6D505FC7" w:rsidR="00687954" w:rsidRPr="00176E16" w:rsidRDefault="003F3B19" w:rsidP="00394A0B">
      <w:pPr>
        <w:pStyle w:val="Heading2"/>
      </w:pPr>
      <w:r>
        <w:t>C</w:t>
      </w:r>
      <w:r w:rsidR="00176E16" w:rsidRPr="00176E16">
        <w:t xml:space="preserve">1 </w:t>
      </w:r>
      <w:r w:rsidR="00687954" w:rsidRPr="00176E16">
        <w:t>Certification</w:t>
      </w:r>
    </w:p>
    <w:p w14:paraId="18B3EB26" w14:textId="7962F897" w:rsidR="00687954" w:rsidRDefault="003164B6" w:rsidP="00587942">
      <w:pPr>
        <w:pStyle w:val="ListParagraph"/>
        <w:numPr>
          <w:ilvl w:val="0"/>
          <w:numId w:val="23"/>
        </w:numPr>
        <w:jc w:val="both"/>
      </w:pPr>
      <w:r>
        <w:t>Tenant</w:t>
      </w:r>
      <w:r w:rsidR="004E0219">
        <w:t xml:space="preserve"> </w:t>
      </w:r>
      <w:r w:rsidR="00687954">
        <w:t xml:space="preserve">to achieve and maintain BCA Green Mark for </w:t>
      </w:r>
      <w:r w:rsidR="004E0219" w:rsidRPr="004E0219">
        <w:t>&lt;</w:t>
      </w:r>
      <w:r w:rsidR="009D240B" w:rsidRPr="000727D5">
        <w:rPr>
          <w:i/>
          <w:iCs/>
          <w:highlight w:val="lightGray"/>
        </w:rPr>
        <w:t>Health</w:t>
      </w:r>
      <w:r w:rsidR="006D7F0E" w:rsidRPr="000727D5">
        <w:rPr>
          <w:i/>
          <w:iCs/>
          <w:highlight w:val="lightGray"/>
        </w:rPr>
        <w:t>ier</w:t>
      </w:r>
      <w:r w:rsidR="009D240B" w:rsidRPr="000727D5">
        <w:rPr>
          <w:i/>
          <w:iCs/>
          <w:highlight w:val="lightGray"/>
        </w:rPr>
        <w:t xml:space="preserve"> Workplace</w:t>
      </w:r>
      <w:r w:rsidR="006D7F0E" w:rsidRPr="000727D5">
        <w:rPr>
          <w:i/>
          <w:iCs/>
          <w:highlight w:val="lightGray"/>
        </w:rPr>
        <w:t>s</w:t>
      </w:r>
      <w:r w:rsidR="004E0219" w:rsidRPr="000727D5">
        <w:rPr>
          <w:i/>
          <w:iCs/>
          <w:highlight w:val="lightGray"/>
        </w:rPr>
        <w:t xml:space="preserve"> / Retail / Supermarket / Restaurant</w:t>
      </w:r>
      <w:r w:rsidR="004E0219" w:rsidRPr="004E0219">
        <w:t>&gt;</w:t>
      </w:r>
      <w:r w:rsidR="00687954">
        <w:t xml:space="preserve"> </w:t>
      </w:r>
      <w:r w:rsidR="00936FCF">
        <w:t>&lt;</w:t>
      </w:r>
      <w:r w:rsidR="00936FCF" w:rsidRPr="000727D5">
        <w:rPr>
          <w:i/>
          <w:highlight w:val="lightGray"/>
        </w:rPr>
        <w:t>Insert Rating</w:t>
      </w:r>
      <w:r w:rsidR="00936FCF">
        <w:t xml:space="preserve">&gt; </w:t>
      </w:r>
      <w:r w:rsidR="00687954">
        <w:t>award</w:t>
      </w:r>
      <w:r w:rsidR="004E0219">
        <w:t xml:space="preserve"> </w:t>
      </w:r>
      <w:r w:rsidR="005305EB">
        <w:t>&lt;</w:t>
      </w:r>
      <w:r w:rsidR="005305EB" w:rsidRPr="000727D5">
        <w:rPr>
          <w:i/>
          <w:highlight w:val="lightGray"/>
        </w:rPr>
        <w:t>within the lease period / at the next retrofit/ in x months</w:t>
      </w:r>
      <w:r w:rsidR="005305EB">
        <w:t>&gt;</w:t>
      </w:r>
      <w:r w:rsidR="004E0219">
        <w:t xml:space="preserve"> where applicable</w:t>
      </w:r>
      <w:r w:rsidR="00687954">
        <w:t xml:space="preserve">. </w:t>
      </w:r>
    </w:p>
    <w:p w14:paraId="3D5B2F3D" w14:textId="77777777" w:rsidR="003F3B19" w:rsidRPr="00394A0B" w:rsidRDefault="003F3B19" w:rsidP="00394A0B">
      <w:pPr>
        <w:pStyle w:val="Heading2"/>
        <w:rPr>
          <w:rFonts w:asciiTheme="minorHAnsi" w:hAnsiTheme="minorHAnsi" w:cstheme="minorHAnsi"/>
        </w:rPr>
      </w:pPr>
      <w:r w:rsidRPr="00394A0B">
        <w:rPr>
          <w:rFonts w:asciiTheme="minorHAnsi" w:hAnsiTheme="minorHAnsi" w:cstheme="minorHAnsi"/>
        </w:rPr>
        <w:t>C2 Management of Energy Use</w:t>
      </w:r>
    </w:p>
    <w:p w14:paraId="6E300DDA" w14:textId="0FBC3DD4" w:rsidR="004908CB" w:rsidRPr="00965378" w:rsidRDefault="003F3B19" w:rsidP="00587942">
      <w:pPr>
        <w:pStyle w:val="ListParagraph"/>
        <w:numPr>
          <w:ilvl w:val="0"/>
          <w:numId w:val="24"/>
        </w:numPr>
        <w:spacing w:after="120"/>
        <w:ind w:left="714" w:hanging="357"/>
        <w:jc w:val="both"/>
        <w:rPr>
          <w:iCs/>
        </w:rPr>
      </w:pPr>
      <w:r>
        <w:t xml:space="preserve">Lighting Power Budget </w:t>
      </w:r>
      <w:r w:rsidR="00D51BFF">
        <w:t>for</w:t>
      </w:r>
      <w:r>
        <w:t xml:space="preserve"> </w:t>
      </w:r>
      <w:r w:rsidR="00D51BFF">
        <w:t>&lt;</w:t>
      </w:r>
      <w:r w:rsidR="00D51BFF" w:rsidRPr="000727D5">
        <w:rPr>
          <w:i/>
          <w:iCs/>
          <w:highlight w:val="lightGray"/>
        </w:rPr>
        <w:t>Office / Retail / Restaurant / Other spaces</w:t>
      </w:r>
      <w:r w:rsidR="00D51BFF" w:rsidRPr="00C11410">
        <w:t>&gt;</w:t>
      </w:r>
      <w:r w:rsidR="00D51BFF">
        <w:t xml:space="preserve"> </w:t>
      </w:r>
      <w:r w:rsidR="00965378">
        <w:t>not more than</w:t>
      </w:r>
      <w:r>
        <w:t xml:space="preserve"> &lt;</w:t>
      </w:r>
      <w:r w:rsidRPr="000727D5">
        <w:rPr>
          <w:i/>
          <w:highlight w:val="lightGray"/>
        </w:rPr>
        <w:t>Insert figure</w:t>
      </w:r>
      <w:r>
        <w:rPr>
          <w:i/>
        </w:rPr>
        <w:t>*</w:t>
      </w:r>
      <w:r w:rsidR="006D7F0E">
        <w:rPr>
          <w:i/>
          <w:vertAlign w:val="superscript"/>
        </w:rPr>
        <w:t>5</w:t>
      </w:r>
      <w:r>
        <w:t>&gt; watts per square meter (W/m</w:t>
      </w:r>
      <w:r w:rsidRPr="004908CB">
        <w:rPr>
          <w:vertAlign w:val="superscript"/>
        </w:rPr>
        <w:t>2</w:t>
      </w:r>
      <w:r>
        <w:t>)</w:t>
      </w:r>
      <w:r w:rsidR="00965378">
        <w:rPr>
          <w:i/>
        </w:rPr>
        <w:t xml:space="preserve">. </w:t>
      </w:r>
    </w:p>
    <w:p w14:paraId="4490441B" w14:textId="700D4306" w:rsidR="003F3B19" w:rsidRDefault="004908CB" w:rsidP="00587942">
      <w:pPr>
        <w:pStyle w:val="ListParagraph"/>
        <w:spacing w:after="120"/>
        <w:jc w:val="both"/>
      </w:pPr>
      <w:r>
        <w:rPr>
          <w:i/>
        </w:rPr>
        <w:t>*</w:t>
      </w:r>
      <w:r w:rsidR="006D7F0E">
        <w:rPr>
          <w:i/>
          <w:vertAlign w:val="superscript"/>
        </w:rPr>
        <w:t>5</w:t>
      </w:r>
      <w:r w:rsidR="008610F6">
        <w:rPr>
          <w:i/>
          <w:vertAlign w:val="superscript"/>
        </w:rPr>
        <w:t xml:space="preserve"> </w:t>
      </w:r>
      <w:r w:rsidR="008610F6">
        <w:rPr>
          <w:i/>
        </w:rPr>
        <w:t xml:space="preserve">The </w:t>
      </w:r>
      <w:r w:rsidR="003F3B19" w:rsidRPr="004908CB">
        <w:rPr>
          <w:i/>
          <w:sz w:val="20"/>
          <w:szCs w:val="18"/>
        </w:rPr>
        <w:t xml:space="preserve">recommended </w:t>
      </w:r>
      <w:r w:rsidR="008610F6">
        <w:rPr>
          <w:i/>
          <w:sz w:val="20"/>
          <w:szCs w:val="18"/>
        </w:rPr>
        <w:t xml:space="preserve">lighting power budget for different </w:t>
      </w:r>
      <w:r w:rsidR="009D240B">
        <w:rPr>
          <w:i/>
          <w:sz w:val="20"/>
          <w:szCs w:val="18"/>
        </w:rPr>
        <w:t xml:space="preserve">spaces </w:t>
      </w:r>
      <w:r w:rsidR="008610F6">
        <w:rPr>
          <w:i/>
          <w:sz w:val="20"/>
          <w:szCs w:val="18"/>
        </w:rPr>
        <w:t>can be found in GM2021 EE section, Table 2A</w:t>
      </w:r>
      <w:r w:rsidR="003B1564">
        <w:rPr>
          <w:i/>
          <w:sz w:val="20"/>
          <w:szCs w:val="18"/>
        </w:rPr>
        <w:t xml:space="preserve">. </w:t>
      </w:r>
    </w:p>
    <w:p w14:paraId="25264946" w14:textId="546BD836" w:rsidR="00965378" w:rsidRDefault="00965378" w:rsidP="00587942">
      <w:pPr>
        <w:pStyle w:val="ListParagraph"/>
        <w:numPr>
          <w:ilvl w:val="0"/>
          <w:numId w:val="24"/>
        </w:numPr>
        <w:jc w:val="both"/>
      </w:pPr>
      <w:r w:rsidRPr="00965378">
        <w:rPr>
          <w:iCs/>
        </w:rPr>
        <w:t>The measured indoor lighting levels should comply with the recommended illuminance (average lux level) stated in SS 531: 2013</w:t>
      </w:r>
      <w:r>
        <w:rPr>
          <w:iCs/>
        </w:rPr>
        <w:t xml:space="preserve"> or prevailing standards. </w:t>
      </w:r>
    </w:p>
    <w:p w14:paraId="7605DA59" w14:textId="5BFCD28F" w:rsidR="003F3B19" w:rsidRDefault="003F3B19" w:rsidP="00587942">
      <w:pPr>
        <w:pStyle w:val="ListParagraph"/>
        <w:numPr>
          <w:ilvl w:val="0"/>
          <w:numId w:val="24"/>
        </w:numPr>
        <w:jc w:val="both"/>
      </w:pPr>
      <w:r>
        <w:t xml:space="preserve">Lights shall be </w:t>
      </w:r>
      <w:r w:rsidR="000A4E1C">
        <w:t>e</w:t>
      </w:r>
      <w:r>
        <w:t>nergy efficient and environmentally responsible</w:t>
      </w:r>
      <w:r w:rsidR="00402BF0">
        <w:t>.</w:t>
      </w:r>
    </w:p>
    <w:p w14:paraId="599677AD" w14:textId="202BD096" w:rsidR="005B266E" w:rsidRPr="00963CA8" w:rsidRDefault="005B266E" w:rsidP="00394A0B">
      <w:pPr>
        <w:pStyle w:val="Heading2"/>
      </w:pPr>
      <w:r>
        <w:t>C3</w:t>
      </w:r>
      <w:r w:rsidRPr="00963CA8">
        <w:t xml:space="preserve"> </w:t>
      </w:r>
      <w:r w:rsidR="001E371A">
        <w:t xml:space="preserve">Sustainability </w:t>
      </w:r>
      <w:r>
        <w:t>Management</w:t>
      </w:r>
    </w:p>
    <w:p w14:paraId="7C7A159D" w14:textId="595B4899" w:rsidR="00371425" w:rsidRDefault="00371425" w:rsidP="00587942">
      <w:pPr>
        <w:pStyle w:val="ListParagraph"/>
        <w:numPr>
          <w:ilvl w:val="0"/>
          <w:numId w:val="28"/>
        </w:numPr>
        <w:jc w:val="both"/>
      </w:pPr>
      <w:r>
        <w:t xml:space="preserve">Interior paints, varnishes, sealants and adhesives to be low VOC using natural and </w:t>
      </w:r>
      <w:proofErr w:type="gramStart"/>
      <w:r>
        <w:t>water based</w:t>
      </w:r>
      <w:proofErr w:type="gramEnd"/>
      <w:r>
        <w:t xml:space="preserve"> products where possible.</w:t>
      </w:r>
      <w:r w:rsidR="00942E2F">
        <w:t xml:space="preserve"> These products should be certified </w:t>
      </w:r>
      <w:r w:rsidR="00C92478">
        <w:t>with at least SGBP 2 ticks or equivalent by local certification bodies.</w:t>
      </w:r>
    </w:p>
    <w:p w14:paraId="729C2C35" w14:textId="3CAC6888" w:rsidR="00371425" w:rsidRDefault="00371425" w:rsidP="00587942">
      <w:pPr>
        <w:pStyle w:val="ListParagraph"/>
        <w:numPr>
          <w:ilvl w:val="0"/>
          <w:numId w:val="28"/>
        </w:numPr>
        <w:jc w:val="both"/>
      </w:pPr>
      <w:r>
        <w:t>The Tenant shall ensure that all work done within the Premises by the Tenant or its representatives shall be undertaken in accordance herewith and with the Tenant Construction Manual</w:t>
      </w:r>
      <w:r w:rsidR="00B15CF7">
        <w:t>.</w:t>
      </w:r>
    </w:p>
    <w:p w14:paraId="15ABBB44" w14:textId="5D126AFD" w:rsidR="00942E2F" w:rsidRDefault="00942E2F" w:rsidP="00942E2F">
      <w:pPr>
        <w:pStyle w:val="ListParagraph"/>
        <w:numPr>
          <w:ilvl w:val="0"/>
          <w:numId w:val="28"/>
        </w:numPr>
        <w:jc w:val="both"/>
      </w:pPr>
      <w:r>
        <w:t xml:space="preserve">Annual targets for </w:t>
      </w:r>
      <w:r w:rsidR="00EB272A">
        <w:t xml:space="preserve">carbon emissions, </w:t>
      </w:r>
      <w:r>
        <w:t xml:space="preserve">energy, water and waste reduction with tangible results demonstrated. </w:t>
      </w:r>
    </w:p>
    <w:p w14:paraId="273C1A0D" w14:textId="5B430251" w:rsidR="00371425" w:rsidRDefault="00371425" w:rsidP="00587942">
      <w:pPr>
        <w:pStyle w:val="ListParagraph"/>
        <w:numPr>
          <w:ilvl w:val="0"/>
          <w:numId w:val="28"/>
        </w:numPr>
        <w:jc w:val="both"/>
      </w:pPr>
      <w:r>
        <w:t xml:space="preserve">An </w:t>
      </w:r>
      <w:r w:rsidR="009D240B">
        <w:t xml:space="preserve">ESG or </w:t>
      </w:r>
      <w:r>
        <w:t xml:space="preserve">CSR policy that commits to engage actively in promoting the </w:t>
      </w:r>
      <w:r w:rsidR="000D5CAC">
        <w:t xml:space="preserve">environmental </w:t>
      </w:r>
      <w:r>
        <w:t>responsibilities of business.</w:t>
      </w:r>
    </w:p>
    <w:p w14:paraId="47C0277C" w14:textId="77777777" w:rsidR="009306DD" w:rsidRDefault="009306DD" w:rsidP="00587942">
      <w:pPr>
        <w:jc w:val="both"/>
        <w:rPr>
          <w:rFonts w:ascii="Cambria" w:hAnsi="Cambria"/>
          <w:b/>
          <w:sz w:val="28"/>
          <w:szCs w:val="28"/>
        </w:rPr>
      </w:pPr>
    </w:p>
    <w:p w14:paraId="31B793D1" w14:textId="77777777" w:rsidR="009306DD" w:rsidRDefault="009306DD" w:rsidP="00587942">
      <w:pPr>
        <w:jc w:val="both"/>
        <w:rPr>
          <w:rFonts w:ascii="Cambria" w:hAnsi="Cambria"/>
          <w:b/>
          <w:sz w:val="28"/>
          <w:szCs w:val="28"/>
        </w:rPr>
      </w:pPr>
    </w:p>
    <w:p w14:paraId="6AAE959C" w14:textId="77777777" w:rsidR="00B2368F" w:rsidRPr="00B2368F" w:rsidRDefault="00B2368F" w:rsidP="00394A0B">
      <w:pPr>
        <w:pStyle w:val="Heading1"/>
      </w:pPr>
      <w:bookmarkStart w:id="7" w:name="_Toc73527100"/>
      <w:r w:rsidRPr="00B2368F">
        <w:lastRenderedPageBreak/>
        <w:t xml:space="preserve">Section </w:t>
      </w:r>
      <w:r>
        <w:t>D</w:t>
      </w:r>
      <w:r w:rsidRPr="00B2368F">
        <w:t xml:space="preserve">: </w:t>
      </w:r>
      <w:r>
        <w:t>Additional</w:t>
      </w:r>
      <w:r w:rsidRPr="00B2368F">
        <w:t xml:space="preserve"> Standards (Tenants)</w:t>
      </w:r>
      <w:bookmarkEnd w:id="7"/>
    </w:p>
    <w:p w14:paraId="46AE75F6" w14:textId="77777777" w:rsidR="009306DD" w:rsidRDefault="009306DD" w:rsidP="00587942">
      <w:pPr>
        <w:jc w:val="both"/>
        <w:rPr>
          <w:i/>
        </w:rPr>
      </w:pPr>
      <w:r>
        <w:rPr>
          <w:i/>
        </w:rPr>
        <w:t xml:space="preserve">This section provides a list of clauses that are encouraged to be implemented </w:t>
      </w:r>
      <w:r w:rsidRPr="0014424A">
        <w:rPr>
          <w:i/>
          <w:u w:val="single"/>
        </w:rPr>
        <w:t>where possible</w:t>
      </w:r>
      <w:r>
        <w:rPr>
          <w:i/>
        </w:rPr>
        <w:t>. These clauses can be edited, removed or substituted with other clauses that are deemed relevant to the tenant and may vary from tenant to tenant.</w:t>
      </w:r>
    </w:p>
    <w:p w14:paraId="2DF0349C" w14:textId="77777777" w:rsidR="003C2E33" w:rsidRPr="00394A0B" w:rsidRDefault="003C2E33" w:rsidP="00587942">
      <w:pPr>
        <w:jc w:val="both"/>
        <w:rPr>
          <w:rFonts w:cstheme="minorHAnsi"/>
          <w:b/>
          <w:caps/>
          <w:sz w:val="24"/>
          <w:u w:val="single"/>
        </w:rPr>
      </w:pPr>
      <w:r w:rsidRPr="00394A0B">
        <w:rPr>
          <w:rFonts w:cstheme="minorHAnsi"/>
          <w:b/>
          <w:caps/>
          <w:sz w:val="24"/>
          <w:u w:val="single"/>
        </w:rPr>
        <w:t>Resource Management</w:t>
      </w:r>
    </w:p>
    <w:p w14:paraId="731F2121" w14:textId="77777777" w:rsidR="003F3B19" w:rsidRPr="00176E16" w:rsidRDefault="00EA2D92" w:rsidP="00394A0B">
      <w:pPr>
        <w:pStyle w:val="Heading2"/>
      </w:pPr>
      <w:r>
        <w:t>D1</w:t>
      </w:r>
      <w:r w:rsidR="003F3B19" w:rsidRPr="00176E16">
        <w:t xml:space="preserve"> Energy Intensity &amp; Usage</w:t>
      </w:r>
    </w:p>
    <w:p w14:paraId="0C46F4BD" w14:textId="0E02780B" w:rsidR="005B266E" w:rsidRDefault="005B266E" w:rsidP="00587942">
      <w:pPr>
        <w:pStyle w:val="ListParagraph"/>
        <w:numPr>
          <w:ilvl w:val="0"/>
          <w:numId w:val="37"/>
        </w:numPr>
        <w:jc w:val="both"/>
      </w:pPr>
      <w:r>
        <w:rPr>
          <w:b/>
        </w:rPr>
        <w:t xml:space="preserve">[Recommended] </w:t>
      </w:r>
      <w:r>
        <w:t xml:space="preserve">Monitoring and reporting of </w:t>
      </w:r>
      <w:r w:rsidR="001E371A">
        <w:t xml:space="preserve">tenant </w:t>
      </w:r>
      <w:r>
        <w:t xml:space="preserve">consumption with targets set for continuous improvement </w:t>
      </w:r>
      <w:r w:rsidRPr="00394A0B">
        <w:t>&lt;</w:t>
      </w:r>
      <w:r w:rsidRPr="000727D5">
        <w:rPr>
          <w:i/>
          <w:highlight w:val="lightGray"/>
        </w:rPr>
        <w:t>x kWh*</w:t>
      </w:r>
      <w:r w:rsidR="00BA222E" w:rsidRPr="000727D5">
        <w:rPr>
          <w:i/>
          <w:highlight w:val="lightGray"/>
          <w:vertAlign w:val="superscript"/>
        </w:rPr>
        <w:t>6</w:t>
      </w:r>
      <w:r w:rsidRPr="000727D5">
        <w:rPr>
          <w:i/>
          <w:highlight w:val="lightGray"/>
        </w:rPr>
        <w:t xml:space="preserve"> or x % over insert period</w:t>
      </w:r>
      <w:r w:rsidRPr="00394A0B">
        <w:t>&gt;</w:t>
      </w:r>
      <w:r w:rsidR="00BA222E">
        <w:t>.</w:t>
      </w:r>
    </w:p>
    <w:p w14:paraId="1927B2FB" w14:textId="2A6C36FC" w:rsidR="005B266E" w:rsidRPr="00B90D9C" w:rsidRDefault="005B266E" w:rsidP="00587942">
      <w:pPr>
        <w:pStyle w:val="ListParagraph"/>
        <w:jc w:val="both"/>
        <w:rPr>
          <w:i/>
          <w:sz w:val="20"/>
        </w:rPr>
      </w:pPr>
      <w:r w:rsidRPr="002B1F7A">
        <w:rPr>
          <w:i/>
          <w:sz w:val="20"/>
        </w:rPr>
        <w:t>*</w:t>
      </w:r>
      <w:r w:rsidR="00BA222E">
        <w:rPr>
          <w:i/>
          <w:sz w:val="20"/>
          <w:vertAlign w:val="superscript"/>
        </w:rPr>
        <w:t xml:space="preserve">6 </w:t>
      </w:r>
      <w:r>
        <w:rPr>
          <w:i/>
          <w:sz w:val="20"/>
        </w:rPr>
        <w:t xml:space="preserve">The kWh can be actual savings which are captured by the electricity consumption taken from the power bill / meter reading, or via a demonstrated savings approach where </w:t>
      </w:r>
      <w:r w:rsidR="00CE0DFC">
        <w:rPr>
          <w:i/>
          <w:sz w:val="20"/>
        </w:rPr>
        <w:t>tenant</w:t>
      </w:r>
      <w:r>
        <w:rPr>
          <w:i/>
          <w:sz w:val="20"/>
        </w:rPr>
        <w:t xml:space="preserve"> activities are expanding or intensifying. Demonstrated savings are calculated savings based on equipment efficiency improvements.</w:t>
      </w:r>
    </w:p>
    <w:p w14:paraId="230A0321" w14:textId="14862DFA" w:rsidR="005B266E" w:rsidRDefault="005B266E" w:rsidP="00587942">
      <w:pPr>
        <w:pStyle w:val="ListParagraph"/>
        <w:numPr>
          <w:ilvl w:val="0"/>
          <w:numId w:val="37"/>
        </w:numPr>
        <w:jc w:val="both"/>
      </w:pPr>
      <w:r>
        <w:t>The Tenant agrees to limit annual average consumption of electricity within its Premises to &lt;</w:t>
      </w:r>
      <w:r w:rsidRPr="000727D5">
        <w:rPr>
          <w:i/>
          <w:highlight w:val="lightGray"/>
        </w:rPr>
        <w:t>Insert figure</w:t>
      </w:r>
      <w:r>
        <w:t>*</w:t>
      </w:r>
      <w:r w:rsidR="00BA222E">
        <w:rPr>
          <w:vertAlign w:val="superscript"/>
        </w:rPr>
        <w:t>7</w:t>
      </w:r>
      <w:r>
        <w:t>&gt; Kilowatt hours per square meter per year (kWh/m2/</w:t>
      </w:r>
      <w:proofErr w:type="spellStart"/>
      <w:r>
        <w:t>yr</w:t>
      </w:r>
      <w:proofErr w:type="spellEnd"/>
      <w:r>
        <w:t>)</w:t>
      </w:r>
      <w:r w:rsidR="00BA222E">
        <w:t>.</w:t>
      </w:r>
    </w:p>
    <w:p w14:paraId="5226C874" w14:textId="18B3F256" w:rsidR="005B266E" w:rsidRDefault="005B266E" w:rsidP="00587942">
      <w:pPr>
        <w:pStyle w:val="ListParagraph"/>
        <w:jc w:val="both"/>
      </w:pPr>
      <w:r w:rsidRPr="004908CB">
        <w:rPr>
          <w:szCs w:val="20"/>
        </w:rPr>
        <w:t>*</w:t>
      </w:r>
      <w:r w:rsidR="00BA222E">
        <w:rPr>
          <w:szCs w:val="20"/>
          <w:vertAlign w:val="superscript"/>
        </w:rPr>
        <w:t>7</w:t>
      </w:r>
      <w:r w:rsidR="00085309">
        <w:rPr>
          <w:szCs w:val="20"/>
          <w:vertAlign w:val="superscript"/>
        </w:rPr>
        <w:t xml:space="preserve"> </w:t>
      </w:r>
      <w:r w:rsidR="00085309">
        <w:rPr>
          <w:szCs w:val="20"/>
        </w:rPr>
        <w:t xml:space="preserve"> </w:t>
      </w:r>
      <w:r w:rsidR="00085309" w:rsidRPr="00394A0B">
        <w:rPr>
          <w:i/>
          <w:iCs/>
        </w:rPr>
        <w:t xml:space="preserve">the </w:t>
      </w:r>
      <w:r w:rsidRPr="00394A0B">
        <w:rPr>
          <w:i/>
        </w:rPr>
        <w:t>recommended</w:t>
      </w:r>
      <w:r w:rsidRPr="004908CB">
        <w:rPr>
          <w:i/>
          <w:sz w:val="20"/>
          <w:szCs w:val="20"/>
        </w:rPr>
        <w:t xml:space="preserve"> </w:t>
      </w:r>
      <w:r w:rsidR="000727D5">
        <w:rPr>
          <w:i/>
          <w:sz w:val="20"/>
          <w:szCs w:val="20"/>
        </w:rPr>
        <w:t xml:space="preserve">EUI </w:t>
      </w:r>
      <w:r w:rsidR="00085309">
        <w:rPr>
          <w:i/>
          <w:sz w:val="20"/>
          <w:szCs w:val="20"/>
        </w:rPr>
        <w:t xml:space="preserve"> for different premises can be found in the respective Green Mark schemes </w:t>
      </w:r>
      <w:hyperlink r:id="rId15" w:history="1">
        <w:r w:rsidR="009A42F2" w:rsidRPr="007A3D8B">
          <w:rPr>
            <w:rStyle w:val="Hyperlink"/>
            <w:i/>
            <w:sz w:val="20"/>
            <w:szCs w:val="20"/>
          </w:rPr>
          <w:t>https://www1.bca.gov.sg/buildsg/sustainability/green-mark-certification-scheme/green-mark-assessment-criteria-and-online-application</w:t>
        </w:r>
      </w:hyperlink>
      <w:r w:rsidR="009A42F2">
        <w:rPr>
          <w:i/>
          <w:sz w:val="20"/>
          <w:szCs w:val="20"/>
        </w:rPr>
        <w:t xml:space="preserve"> </w:t>
      </w:r>
    </w:p>
    <w:p w14:paraId="34E4DE36" w14:textId="1F869FE0" w:rsidR="003F3B19" w:rsidRDefault="003F3B19" w:rsidP="00587942">
      <w:pPr>
        <w:pStyle w:val="ListParagraph"/>
        <w:numPr>
          <w:ilvl w:val="0"/>
          <w:numId w:val="37"/>
        </w:numPr>
        <w:jc w:val="both"/>
      </w:pPr>
      <w:r>
        <w:t>Equipment Plug Load – Average &lt;</w:t>
      </w:r>
      <w:r w:rsidR="004908CB" w:rsidRPr="000727D5">
        <w:rPr>
          <w:i/>
          <w:iCs/>
          <w:highlight w:val="lightGray"/>
        </w:rPr>
        <w:t xml:space="preserve">x </w:t>
      </w:r>
      <w:r w:rsidRPr="000727D5">
        <w:rPr>
          <w:i/>
          <w:highlight w:val="lightGray"/>
        </w:rPr>
        <w:t>W/m</w:t>
      </w:r>
      <w:r w:rsidRPr="000727D5">
        <w:rPr>
          <w:i/>
          <w:highlight w:val="lightGray"/>
          <w:vertAlign w:val="superscript"/>
        </w:rPr>
        <w:t>2</w:t>
      </w:r>
      <w:r w:rsidR="004908CB">
        <w:t>&gt;</w:t>
      </w:r>
      <w:r w:rsidR="00BA222E">
        <w:t>.</w:t>
      </w:r>
    </w:p>
    <w:p w14:paraId="58F3310C" w14:textId="5610DE0B" w:rsidR="00B97809" w:rsidRDefault="00215CC2">
      <w:pPr>
        <w:pStyle w:val="ListParagraph"/>
        <w:numPr>
          <w:ilvl w:val="0"/>
          <w:numId w:val="37"/>
        </w:numPr>
        <w:jc w:val="both"/>
      </w:pPr>
      <w:r>
        <w:t>Offset operational energy through the p</w:t>
      </w:r>
      <w:r w:rsidR="00B97809" w:rsidRPr="00B97809">
        <w:t>rocurement of renewable</w:t>
      </w:r>
      <w:r>
        <w:t xml:space="preserve"> energy certificates (RECs)</w:t>
      </w:r>
      <w:r w:rsidR="004A2292">
        <w:t xml:space="preserve"> in complian</w:t>
      </w:r>
      <w:r w:rsidR="00557B5F">
        <w:t>ce</w:t>
      </w:r>
      <w:r w:rsidR="004A2292">
        <w:t xml:space="preserve"> with SS 673: 2021</w:t>
      </w:r>
      <w:r w:rsidR="00B97809" w:rsidRPr="00B97809">
        <w:t xml:space="preserve">, or certified carbon </w:t>
      </w:r>
      <w:r>
        <w:t>offsets.</w:t>
      </w:r>
    </w:p>
    <w:p w14:paraId="4B2D8FD0" w14:textId="77777777" w:rsidR="003F3BDF" w:rsidRPr="00176E16" w:rsidRDefault="00EA2D92" w:rsidP="00394A0B">
      <w:pPr>
        <w:pStyle w:val="Heading2"/>
      </w:pPr>
      <w:r>
        <w:t>D2</w:t>
      </w:r>
      <w:r w:rsidR="00176E16" w:rsidRPr="00176E16">
        <w:t xml:space="preserve"> </w:t>
      </w:r>
      <w:r w:rsidR="003F3BDF" w:rsidRPr="00176E16">
        <w:t>Water Usage:</w:t>
      </w:r>
    </w:p>
    <w:p w14:paraId="2DF3025E" w14:textId="3E4C79F2" w:rsidR="005B266E" w:rsidRDefault="005B266E" w:rsidP="00587942">
      <w:pPr>
        <w:pStyle w:val="ListParagraph"/>
        <w:numPr>
          <w:ilvl w:val="0"/>
          <w:numId w:val="25"/>
        </w:numPr>
        <w:jc w:val="both"/>
      </w:pPr>
      <w:r>
        <w:rPr>
          <w:b/>
        </w:rPr>
        <w:t xml:space="preserve">[Recommended] </w:t>
      </w:r>
      <w:r w:rsidR="001B589A" w:rsidRPr="003921A3">
        <w:t>Installation of 3-ticks Water Efficiency Labelling Scheme (WELS) fittings for new and existing premises</w:t>
      </w:r>
      <w:r w:rsidR="001B589A">
        <w:t xml:space="preserve"> (</w:t>
      </w:r>
      <w:r w:rsidR="001B589A" w:rsidRPr="003921A3">
        <w:t>upon replacement</w:t>
      </w:r>
      <w:r w:rsidR="001B589A">
        <w:t>)</w:t>
      </w:r>
      <w:r w:rsidR="001B589A" w:rsidRPr="009F0743">
        <w:t>, where applicable.</w:t>
      </w:r>
    </w:p>
    <w:p w14:paraId="0E69CA53" w14:textId="16EEFD2D" w:rsidR="00A41A05" w:rsidRDefault="003F3BDF" w:rsidP="00587942">
      <w:pPr>
        <w:pStyle w:val="ListParagraph"/>
        <w:numPr>
          <w:ilvl w:val="0"/>
          <w:numId w:val="25"/>
        </w:numPr>
        <w:jc w:val="both"/>
      </w:pPr>
      <w:r>
        <w:t>The Tenant agrees to limit annual average consumption of</w:t>
      </w:r>
      <w:r w:rsidR="00413974">
        <w:t xml:space="preserve"> water within its Premises to </w:t>
      </w:r>
      <w:r w:rsidR="004908CB">
        <w:t>&lt;</w:t>
      </w:r>
      <w:r w:rsidR="00413974" w:rsidRPr="000727D5">
        <w:rPr>
          <w:i/>
          <w:highlight w:val="lightGray"/>
        </w:rPr>
        <w:t>Insert figure</w:t>
      </w:r>
      <w:r w:rsidR="00A41A05">
        <w:t>*</w:t>
      </w:r>
      <w:r w:rsidR="00BA222E">
        <w:rPr>
          <w:vertAlign w:val="superscript"/>
        </w:rPr>
        <w:t>8</w:t>
      </w:r>
      <w:r w:rsidR="004908CB">
        <w:t>&gt;</w:t>
      </w:r>
      <w:r>
        <w:t xml:space="preserve"> litres per </w:t>
      </w:r>
      <w:r w:rsidR="00D20D86">
        <w:t>person per day (l/p/d),</w:t>
      </w:r>
      <w:r>
        <w:t xml:space="preserve"> exclusive of consumption within the base Building (e.g. </w:t>
      </w:r>
      <w:r w:rsidR="00A41A05">
        <w:t xml:space="preserve">excluding </w:t>
      </w:r>
      <w:r>
        <w:t>the standard washrooms provided and maintained by the landlord)</w:t>
      </w:r>
      <w:r w:rsidR="00D20D86">
        <w:t>.</w:t>
      </w:r>
    </w:p>
    <w:p w14:paraId="478C82AA" w14:textId="69736D07" w:rsidR="009D1194" w:rsidRDefault="009D1194" w:rsidP="009D1194">
      <w:pPr>
        <w:pStyle w:val="ListParagraph"/>
        <w:jc w:val="both"/>
        <w:rPr>
          <w:i/>
          <w:sz w:val="20"/>
        </w:rPr>
      </w:pPr>
      <w:r w:rsidRPr="00A41A05">
        <w:rPr>
          <w:i/>
        </w:rPr>
        <w:t>*</w:t>
      </w:r>
      <w:r w:rsidR="00BA222E">
        <w:rPr>
          <w:i/>
          <w:vertAlign w:val="superscript"/>
        </w:rPr>
        <w:t>8</w:t>
      </w:r>
      <w:r w:rsidR="00223C65">
        <w:rPr>
          <w:i/>
          <w:vertAlign w:val="superscript"/>
        </w:rPr>
        <w:t xml:space="preserve"> </w:t>
      </w:r>
      <w:r w:rsidRPr="00A41A05">
        <w:rPr>
          <w:i/>
          <w:sz w:val="20"/>
        </w:rPr>
        <w:t>Target to be identified during building operation</w:t>
      </w:r>
    </w:p>
    <w:p w14:paraId="41A1990A" w14:textId="0C2AA2E7" w:rsidR="009D1194" w:rsidRDefault="009D1194" w:rsidP="00085309">
      <w:pPr>
        <w:pStyle w:val="ListParagraph"/>
        <w:numPr>
          <w:ilvl w:val="0"/>
          <w:numId w:val="25"/>
        </w:numPr>
        <w:jc w:val="both"/>
      </w:pPr>
      <w:r w:rsidRPr="00624071">
        <w:t xml:space="preserve">Tenant </w:t>
      </w:r>
      <w:r w:rsidRPr="00CB5AFF">
        <w:t xml:space="preserve">to display </w:t>
      </w:r>
      <w:r w:rsidR="00FC635D" w:rsidRPr="00CB5AFF">
        <w:t>water conservation posters</w:t>
      </w:r>
      <w:r w:rsidRPr="00CB5AFF">
        <w:t xml:space="preserve"> at water</w:t>
      </w:r>
      <w:r w:rsidRPr="00624071">
        <w:t xml:space="preserve"> usage areas within its own premises.</w:t>
      </w:r>
    </w:p>
    <w:p w14:paraId="1CB292F5" w14:textId="77777777" w:rsidR="0014360E" w:rsidRPr="00176E16" w:rsidRDefault="0014360E" w:rsidP="00394A0B">
      <w:pPr>
        <w:pStyle w:val="Heading2"/>
      </w:pPr>
      <w:r>
        <w:t>D3</w:t>
      </w:r>
      <w:r w:rsidRPr="00176E16">
        <w:t xml:space="preserve"> Metering</w:t>
      </w:r>
    </w:p>
    <w:p w14:paraId="09BC905B" w14:textId="4E535BC9" w:rsidR="0014360E" w:rsidRDefault="0014360E" w:rsidP="0014360E">
      <w:pPr>
        <w:pStyle w:val="ListParagraph"/>
        <w:numPr>
          <w:ilvl w:val="0"/>
          <w:numId w:val="26"/>
        </w:numPr>
        <w:jc w:val="both"/>
      </w:pPr>
      <w:r>
        <w:rPr>
          <w:b/>
        </w:rPr>
        <w:t xml:space="preserve">[Recommended] </w:t>
      </w:r>
      <w:r>
        <w:t>Total energy metering as well as separate metering of tenancy lighting, IT rooms and general tenancy power usage (receptacle loads)</w:t>
      </w:r>
      <w:r w:rsidR="00223C65">
        <w:t>.</w:t>
      </w:r>
      <w:r w:rsidRPr="00A41A05">
        <w:t xml:space="preserve"> </w:t>
      </w:r>
      <w:r>
        <w:t>Use of smart meters where feasible.</w:t>
      </w:r>
    </w:p>
    <w:p w14:paraId="21FAB440" w14:textId="03160E34" w:rsidR="0014360E" w:rsidRDefault="0014360E" w:rsidP="0014360E">
      <w:pPr>
        <w:pStyle w:val="ListParagraph"/>
        <w:numPr>
          <w:ilvl w:val="0"/>
          <w:numId w:val="26"/>
        </w:numPr>
        <w:jc w:val="both"/>
      </w:pPr>
      <w:r w:rsidRPr="00624071">
        <w:t>Provision of private water meter</w:t>
      </w:r>
      <w:r>
        <w:t>s, where applicable and at least &lt;</w:t>
      </w:r>
      <w:r w:rsidRPr="000727D5">
        <w:rPr>
          <w:i/>
          <w:highlight w:val="lightGray"/>
        </w:rPr>
        <w:t>weekly</w:t>
      </w:r>
      <w:r w:rsidR="00727F44" w:rsidRPr="000727D5">
        <w:rPr>
          <w:i/>
          <w:highlight w:val="lightGray"/>
        </w:rPr>
        <w:t xml:space="preserve"> </w:t>
      </w:r>
      <w:r w:rsidRPr="000727D5">
        <w:rPr>
          <w:i/>
          <w:highlight w:val="lightGray"/>
        </w:rPr>
        <w:t>/</w:t>
      </w:r>
      <w:r w:rsidR="00727F44" w:rsidRPr="000727D5">
        <w:rPr>
          <w:i/>
          <w:highlight w:val="lightGray"/>
        </w:rPr>
        <w:t xml:space="preserve"> </w:t>
      </w:r>
      <w:r w:rsidRPr="000727D5">
        <w:rPr>
          <w:i/>
          <w:highlight w:val="lightGray"/>
        </w:rPr>
        <w:t>monthly</w:t>
      </w:r>
      <w:proofErr w:type="gramStart"/>
      <w:r>
        <w:t xml:space="preserve">&gt;  </w:t>
      </w:r>
      <w:r w:rsidRPr="00624071">
        <w:t>monitoring</w:t>
      </w:r>
      <w:proofErr w:type="gramEnd"/>
      <w:r w:rsidRPr="00624071">
        <w:t xml:space="preserve"> of premises’ water usage.</w:t>
      </w:r>
    </w:p>
    <w:p w14:paraId="29E1AFC7" w14:textId="6EA4BB62" w:rsidR="0014360E" w:rsidRPr="00176E16" w:rsidRDefault="0014360E" w:rsidP="00394A0B">
      <w:pPr>
        <w:pStyle w:val="Heading2"/>
      </w:pPr>
      <w:r>
        <w:lastRenderedPageBreak/>
        <w:t>D4</w:t>
      </w:r>
      <w:r w:rsidR="008D033D">
        <w:t xml:space="preserve"> </w:t>
      </w:r>
      <w:r w:rsidR="003E2525">
        <w:t>Air-Conditioning and</w:t>
      </w:r>
      <w:r w:rsidRPr="00176E16">
        <w:t xml:space="preserve"> Control systems</w:t>
      </w:r>
    </w:p>
    <w:p w14:paraId="5221256E" w14:textId="56ECE845" w:rsidR="0014360E" w:rsidRDefault="0014360E" w:rsidP="0014360E">
      <w:pPr>
        <w:pStyle w:val="ListParagraph"/>
        <w:numPr>
          <w:ilvl w:val="0"/>
          <w:numId w:val="27"/>
        </w:numPr>
        <w:jc w:val="both"/>
      </w:pPr>
      <w:r>
        <w:rPr>
          <w:b/>
        </w:rPr>
        <w:t>[</w:t>
      </w:r>
      <w:r w:rsidRPr="000E4990">
        <w:rPr>
          <w:b/>
        </w:rPr>
        <w:t xml:space="preserve">Recommended] </w:t>
      </w:r>
      <w:r w:rsidRPr="000E4990">
        <w:t xml:space="preserve">For areas that require cooling beyond the normal operating hours of the central plant, dedicated supplementary cooling installed </w:t>
      </w:r>
      <w:r w:rsidR="00C16863" w:rsidRPr="000E4990">
        <w:t xml:space="preserve">are required </w:t>
      </w:r>
      <w:r w:rsidRPr="000E4990">
        <w:t xml:space="preserve">to meet the minimum of </w:t>
      </w:r>
      <w:r w:rsidR="00C16863" w:rsidRPr="000E4990">
        <w:t>&lt;</w:t>
      </w:r>
      <w:r w:rsidR="00C16863" w:rsidRPr="000727D5">
        <w:rPr>
          <w:i/>
          <w:iCs/>
          <w:highlight w:val="lightGray"/>
        </w:rPr>
        <w:t xml:space="preserve"> </w:t>
      </w:r>
      <w:r w:rsidR="00D61A89" w:rsidRPr="000727D5">
        <w:rPr>
          <w:i/>
          <w:iCs/>
          <w:highlight w:val="lightGray"/>
        </w:rPr>
        <w:t>5</w:t>
      </w:r>
      <w:r w:rsidR="00C16863" w:rsidRPr="000727D5">
        <w:rPr>
          <w:i/>
          <w:iCs/>
          <w:highlight w:val="lightGray"/>
        </w:rPr>
        <w:t xml:space="preserve"> </w:t>
      </w:r>
      <w:r w:rsidR="00D61A89" w:rsidRPr="000727D5">
        <w:rPr>
          <w:i/>
          <w:iCs/>
          <w:highlight w:val="lightGray"/>
        </w:rPr>
        <w:t>tick</w:t>
      </w:r>
      <w:r w:rsidR="00C16863" w:rsidRPr="000727D5">
        <w:rPr>
          <w:i/>
          <w:iCs/>
          <w:highlight w:val="lightGray"/>
        </w:rPr>
        <w:t>s</w:t>
      </w:r>
      <w:r w:rsidR="00C16863" w:rsidRPr="00394A0B">
        <w:t>&gt;</w:t>
      </w:r>
      <w:r w:rsidR="00D61A89" w:rsidRPr="00394A0B">
        <w:t xml:space="preserve"> for split unit aircon models up to 10 kW cooling capacity and </w:t>
      </w:r>
      <w:r w:rsidR="000727D5" w:rsidRPr="000727D5">
        <w:rPr>
          <w:i/>
          <w:iCs/>
          <w:highlight w:val="lightGray"/>
        </w:rPr>
        <w:t>&lt;</w:t>
      </w:r>
      <w:r w:rsidR="00D61A89" w:rsidRPr="000727D5">
        <w:rPr>
          <w:i/>
          <w:iCs/>
          <w:highlight w:val="lightGray"/>
        </w:rPr>
        <w:t>3-tick</w:t>
      </w:r>
      <w:r w:rsidR="000E4990" w:rsidRPr="000727D5">
        <w:rPr>
          <w:i/>
          <w:iCs/>
          <w:highlight w:val="lightGray"/>
        </w:rPr>
        <w:t>s</w:t>
      </w:r>
      <w:r w:rsidR="000727D5" w:rsidRPr="000727D5">
        <w:rPr>
          <w:i/>
          <w:iCs/>
          <w:highlight w:val="lightGray"/>
        </w:rPr>
        <w:t>&gt;</w:t>
      </w:r>
      <w:r w:rsidR="00D61A89" w:rsidRPr="00394A0B">
        <w:t xml:space="preserve"> for split unit aircon models above 10 kW cooling capacity</w:t>
      </w:r>
      <w:r w:rsidR="00D61A89" w:rsidRPr="000E4990">
        <w:t>.</w:t>
      </w:r>
      <w:r w:rsidRPr="000E4990">
        <w:t xml:space="preserve"> </w:t>
      </w:r>
      <w:r w:rsidR="00D61A89" w:rsidRPr="000E4990">
        <w:t>I</w:t>
      </w:r>
      <w:r w:rsidRPr="000E4990">
        <w:t>f using</w:t>
      </w:r>
      <w:r>
        <w:t xml:space="preserve"> V</w:t>
      </w:r>
      <w:r w:rsidR="00D61A89">
        <w:t xml:space="preserve">ariable </w:t>
      </w:r>
      <w:r>
        <w:t>R</w:t>
      </w:r>
      <w:r w:rsidR="00D61A89">
        <w:t xml:space="preserve">efrigerant </w:t>
      </w:r>
      <w:r>
        <w:t>F</w:t>
      </w:r>
      <w:r w:rsidR="00D61A89">
        <w:t>low (VRF)</w:t>
      </w:r>
      <w:r w:rsidR="000E4990">
        <w:t xml:space="preserve">, </w:t>
      </w:r>
      <w:r w:rsidR="000727D5" w:rsidRPr="000727D5">
        <w:rPr>
          <w:i/>
          <w:iCs/>
          <w:highlight w:val="lightGray"/>
        </w:rPr>
        <w:t>&lt;</w:t>
      </w:r>
      <w:r w:rsidR="00AE0C6E" w:rsidRPr="000727D5">
        <w:rPr>
          <w:i/>
          <w:iCs/>
          <w:highlight w:val="lightGray"/>
        </w:rPr>
        <w:t>4</w:t>
      </w:r>
      <w:r w:rsidR="00D61A89" w:rsidRPr="000727D5">
        <w:rPr>
          <w:i/>
          <w:iCs/>
          <w:highlight w:val="lightGray"/>
        </w:rPr>
        <w:t>-tick</w:t>
      </w:r>
      <w:r w:rsidR="000E4990" w:rsidRPr="000727D5">
        <w:rPr>
          <w:i/>
          <w:iCs/>
          <w:highlight w:val="lightGray"/>
        </w:rPr>
        <w:t>s</w:t>
      </w:r>
      <w:r w:rsidR="000727D5" w:rsidRPr="000727D5">
        <w:rPr>
          <w:i/>
          <w:iCs/>
          <w:highlight w:val="lightGray"/>
        </w:rPr>
        <w:t>&gt;</w:t>
      </w:r>
      <w:r>
        <w:t xml:space="preserve"> with temperature sensors and occupancy sensors </w:t>
      </w:r>
      <w:r w:rsidR="00D61A89">
        <w:t xml:space="preserve">shall be installed </w:t>
      </w:r>
      <w:r>
        <w:t xml:space="preserve">to control energy usage. The system must be regularly serviced and maintained to ensure operational efficiency. </w:t>
      </w:r>
    </w:p>
    <w:p w14:paraId="5CA5D961" w14:textId="093D32A4" w:rsidR="0014360E" w:rsidRDefault="0014360E" w:rsidP="0014360E">
      <w:pPr>
        <w:pStyle w:val="ListParagraph"/>
        <w:numPr>
          <w:ilvl w:val="0"/>
          <w:numId w:val="27"/>
        </w:numPr>
        <w:jc w:val="both"/>
      </w:pPr>
      <w:r>
        <w:t>Air conditioning controls to maintain thermal comfort and good indoor air quality shall be designed for. Temperature to follow SS 554: 20</w:t>
      </w:r>
      <w:r w:rsidR="00223C65">
        <w:t>16</w:t>
      </w:r>
      <w:r>
        <w:t xml:space="preserve"> or </w:t>
      </w:r>
      <w:r w:rsidR="00E52C72">
        <w:t>the prevailing standard.</w:t>
      </w:r>
    </w:p>
    <w:p w14:paraId="61915812" w14:textId="0BCC7DB8" w:rsidR="0014360E" w:rsidRDefault="0014360E" w:rsidP="0014360E">
      <w:pPr>
        <w:pStyle w:val="ListParagraph"/>
        <w:numPr>
          <w:ilvl w:val="0"/>
          <w:numId w:val="27"/>
        </w:numPr>
        <w:jc w:val="both"/>
      </w:pPr>
      <w:r>
        <w:t>Enclosed areas to be provided with dedicated thermostat controls (</w:t>
      </w:r>
      <w:r w:rsidR="003647E0">
        <w:t xml:space="preserve">e.g. </w:t>
      </w:r>
      <w:r>
        <w:t>meeting rooms, closed offices, conference facilities) with auto shut off or ramp down when not in use</w:t>
      </w:r>
      <w:r w:rsidR="003647E0">
        <w:t>.</w:t>
      </w:r>
    </w:p>
    <w:p w14:paraId="1FEC91B8" w14:textId="74BE8E63" w:rsidR="0014360E" w:rsidRDefault="0014360E" w:rsidP="0014360E">
      <w:pPr>
        <w:pStyle w:val="ListParagraph"/>
        <w:numPr>
          <w:ilvl w:val="0"/>
          <w:numId w:val="27"/>
        </w:numPr>
        <w:jc w:val="both"/>
      </w:pPr>
      <w:r>
        <w:t xml:space="preserve">Lighting control to include occupancy sensors and </w:t>
      </w:r>
      <w:r w:rsidR="00E52C72" w:rsidRPr="00E52C72">
        <w:t xml:space="preserve">interlocked with </w:t>
      </w:r>
      <w:r>
        <w:t>perimeter lighting with local overrides. Enclosed spaces to have dedicated light switches and auto switch off when not in use.</w:t>
      </w:r>
    </w:p>
    <w:p w14:paraId="519EF7E4" w14:textId="77777777" w:rsidR="0014360E" w:rsidRPr="003164B6" w:rsidRDefault="0014360E" w:rsidP="0014360E">
      <w:pPr>
        <w:pStyle w:val="ListParagraph"/>
        <w:numPr>
          <w:ilvl w:val="0"/>
          <w:numId w:val="27"/>
        </w:numPr>
        <w:jc w:val="both"/>
      </w:pPr>
      <w:r>
        <w:t>All control systems to be regularly checked and maintained.</w:t>
      </w:r>
    </w:p>
    <w:p w14:paraId="5A98BA92" w14:textId="5CA76A90" w:rsidR="0014360E" w:rsidRDefault="0014360E" w:rsidP="0014360E">
      <w:pPr>
        <w:pStyle w:val="ListParagraph"/>
        <w:numPr>
          <w:ilvl w:val="0"/>
          <w:numId w:val="27"/>
        </w:numPr>
        <w:jc w:val="both"/>
      </w:pPr>
      <w:r>
        <w:t>Z</w:t>
      </w:r>
      <w:r w:rsidRPr="005B266E">
        <w:t>one the air conditioning with each zone</w:t>
      </w:r>
      <w:r>
        <w:t xml:space="preserve"> </w:t>
      </w:r>
      <w:r w:rsidRPr="005B266E">
        <w:t>not exceeding 100m</w:t>
      </w:r>
      <w:r w:rsidRPr="00371425">
        <w:rPr>
          <w:vertAlign w:val="superscript"/>
        </w:rPr>
        <w:t>2</w:t>
      </w:r>
      <w:r w:rsidR="00887C1C">
        <w:t>.</w:t>
      </w:r>
    </w:p>
    <w:p w14:paraId="303A5D97" w14:textId="77777777" w:rsidR="003C2E33" w:rsidRPr="00394A0B" w:rsidRDefault="003C2E33" w:rsidP="00587942">
      <w:pPr>
        <w:jc w:val="both"/>
        <w:rPr>
          <w:rFonts w:cstheme="minorHAnsi"/>
          <w:b/>
          <w:caps/>
          <w:sz w:val="24"/>
          <w:u w:val="single"/>
        </w:rPr>
      </w:pPr>
      <w:r w:rsidRPr="00394A0B">
        <w:rPr>
          <w:rFonts w:cstheme="minorHAnsi"/>
          <w:b/>
          <w:caps/>
          <w:sz w:val="24"/>
          <w:u w:val="single"/>
        </w:rPr>
        <w:t>Materials &amp; Fit Out</w:t>
      </w:r>
    </w:p>
    <w:p w14:paraId="4A252892" w14:textId="1DAFF207" w:rsidR="0014360E" w:rsidRPr="00176E16" w:rsidRDefault="0014360E" w:rsidP="00394A0B">
      <w:pPr>
        <w:pStyle w:val="Heading2"/>
      </w:pPr>
      <w:r>
        <w:t>D5</w:t>
      </w:r>
      <w:r w:rsidRPr="00176E16">
        <w:t xml:space="preserve"> </w:t>
      </w:r>
      <w:r w:rsidR="001E371A">
        <w:t>F</w:t>
      </w:r>
      <w:r w:rsidRPr="00176E16">
        <w:t>it out and renovations</w:t>
      </w:r>
    </w:p>
    <w:p w14:paraId="0E924428" w14:textId="63AF98D1" w:rsidR="0014360E" w:rsidRDefault="0014360E" w:rsidP="0014360E">
      <w:pPr>
        <w:pStyle w:val="ListParagraph"/>
        <w:numPr>
          <w:ilvl w:val="0"/>
          <w:numId w:val="39"/>
        </w:numPr>
        <w:jc w:val="both"/>
      </w:pPr>
      <w:r>
        <w:t>Internal partitions to be modular and re-usable (&gt;</w:t>
      </w:r>
      <w:r w:rsidRPr="000727D5">
        <w:rPr>
          <w:i/>
          <w:iCs/>
          <w:highlight w:val="lightGray"/>
        </w:rPr>
        <w:t>70%</w:t>
      </w:r>
      <w:r>
        <w:t>)</w:t>
      </w:r>
      <w:r w:rsidR="00750E84">
        <w:t>, where applicable.</w:t>
      </w:r>
    </w:p>
    <w:p w14:paraId="1C4D6137" w14:textId="0FFA923C" w:rsidR="0014360E" w:rsidRDefault="0014360E" w:rsidP="00137101">
      <w:pPr>
        <w:pStyle w:val="ListParagraph"/>
        <w:numPr>
          <w:ilvl w:val="0"/>
          <w:numId w:val="39"/>
        </w:numPr>
        <w:jc w:val="both"/>
      </w:pPr>
      <w:r w:rsidRPr="00137101">
        <w:rPr>
          <w:b/>
        </w:rPr>
        <w:t>[Recommended]</w:t>
      </w:r>
      <w:r w:rsidR="00870750">
        <w:rPr>
          <w:b/>
        </w:rPr>
        <w:t xml:space="preserve"> </w:t>
      </w:r>
      <w:r>
        <w:t xml:space="preserve">Furnishings, furniture and carpets to be </w:t>
      </w:r>
      <w:r w:rsidR="005E471E" w:rsidRPr="005E471E">
        <w:t xml:space="preserve">certified </w:t>
      </w:r>
      <w:r w:rsidR="00C92478">
        <w:t xml:space="preserve">with at least SGBP 2 ticks or equivalent by local certification bodies </w:t>
      </w:r>
      <w:r>
        <w:t>containing recycled materials and be low VOC</w:t>
      </w:r>
      <w:r w:rsidR="00E77549">
        <w:t>.</w:t>
      </w:r>
    </w:p>
    <w:p w14:paraId="5F9734AC" w14:textId="47B341FC" w:rsidR="0014360E" w:rsidRDefault="0014360E" w:rsidP="0014360E">
      <w:pPr>
        <w:pStyle w:val="ListParagraph"/>
        <w:numPr>
          <w:ilvl w:val="0"/>
          <w:numId w:val="39"/>
        </w:numPr>
        <w:jc w:val="both"/>
      </w:pPr>
      <w:r>
        <w:t>The Tenant shall have regard to the Tenant Procurement Guidelines in procuring furniture, fixtures, materials, supplies and equipment to be brought into the Premises</w:t>
      </w:r>
      <w:r w:rsidR="00E77549">
        <w:t>.</w:t>
      </w:r>
    </w:p>
    <w:p w14:paraId="46CCA571" w14:textId="74D4396E" w:rsidR="0014360E" w:rsidRDefault="0014360E" w:rsidP="0014360E">
      <w:pPr>
        <w:pStyle w:val="ListParagraph"/>
        <w:numPr>
          <w:ilvl w:val="0"/>
          <w:numId w:val="39"/>
        </w:numPr>
        <w:jc w:val="both"/>
      </w:pPr>
      <w:r>
        <w:t xml:space="preserve">The tenant agrees to recycle or reuse or </w:t>
      </w:r>
      <w:r w:rsidR="00192870">
        <w:t xml:space="preserve">require </w:t>
      </w:r>
      <w:r>
        <w:t xml:space="preserve">its contractor to recycle or reuse as much as possible any waste created in the demolition of existing Leasehold Improvements or Alterations within the Premises </w:t>
      </w:r>
      <w:proofErr w:type="gramStart"/>
      <w:r>
        <w:t>so as to</w:t>
      </w:r>
      <w:proofErr w:type="gramEnd"/>
      <w:r>
        <w:t xml:space="preserve"> minimise the amount of waste ending in landfill</w:t>
      </w:r>
      <w:r w:rsidR="00E77549">
        <w:t>.</w:t>
      </w:r>
    </w:p>
    <w:p w14:paraId="33F3BCAA" w14:textId="0CAC2EC5" w:rsidR="0014360E" w:rsidRPr="00176E16" w:rsidRDefault="0014360E" w:rsidP="00394A0B">
      <w:pPr>
        <w:pStyle w:val="Heading2"/>
      </w:pPr>
      <w:r>
        <w:t>D6</w:t>
      </w:r>
      <w:r w:rsidRPr="00176E16">
        <w:t xml:space="preserve"> Equipment</w:t>
      </w:r>
    </w:p>
    <w:p w14:paraId="28998CB7" w14:textId="448AEE25" w:rsidR="0014360E" w:rsidRDefault="0014360E">
      <w:pPr>
        <w:pStyle w:val="ListParagraph"/>
        <w:numPr>
          <w:ilvl w:val="0"/>
          <w:numId w:val="30"/>
        </w:numPr>
        <w:jc w:val="both"/>
      </w:pPr>
      <w:r>
        <w:rPr>
          <w:b/>
        </w:rPr>
        <w:t xml:space="preserve">[Recommended] </w:t>
      </w:r>
      <w:r w:rsidR="00E77549">
        <w:t>P</w:t>
      </w:r>
      <w:r>
        <w:t>olicy to ensure that energy efficient settings are enabled on all equipment.</w:t>
      </w:r>
    </w:p>
    <w:p w14:paraId="241D948F" w14:textId="39363350" w:rsidR="0014360E" w:rsidRDefault="0014360E">
      <w:pPr>
        <w:pStyle w:val="ListParagraph"/>
        <w:numPr>
          <w:ilvl w:val="0"/>
          <w:numId w:val="30"/>
        </w:numPr>
        <w:jc w:val="both"/>
      </w:pPr>
      <w:r>
        <w:t>Energy Star</w:t>
      </w:r>
      <w:r w:rsidR="008A4C89">
        <w:t xml:space="preserve"> </w:t>
      </w:r>
      <w:r w:rsidR="008A4C89" w:rsidRPr="008A4C89">
        <w:t>or NEA Energy Efficiency Labelling</w:t>
      </w:r>
      <w:r>
        <w:t xml:space="preserve"> rating as a minimum requirement for all applicable equipment</w:t>
      </w:r>
      <w:r w:rsidR="000E4990">
        <w:t>.</w:t>
      </w:r>
    </w:p>
    <w:p w14:paraId="0C5FAEAA" w14:textId="32904CD2" w:rsidR="004A44EE" w:rsidRPr="003D70EC" w:rsidRDefault="004A44EE" w:rsidP="00394A0B">
      <w:pPr>
        <w:pStyle w:val="ListParagraph"/>
        <w:numPr>
          <w:ilvl w:val="0"/>
          <w:numId w:val="30"/>
        </w:numPr>
        <w:autoSpaceDE w:val="0"/>
        <w:autoSpaceDN w:val="0"/>
        <w:spacing w:after="0"/>
        <w:ind w:left="714" w:hanging="357"/>
        <w:jc w:val="both"/>
        <w:rPr>
          <w:rFonts w:cstheme="minorHAnsi"/>
        </w:rPr>
      </w:pPr>
      <w:r w:rsidRPr="003D70EC">
        <w:rPr>
          <w:rFonts w:cstheme="minorHAnsi"/>
          <w:color w:val="000000"/>
        </w:rPr>
        <w:t>Installation of water dispensers to reduce use of bottled water/disposable cups and encourage use of reusable cups</w:t>
      </w:r>
      <w:r w:rsidR="000E4990">
        <w:rPr>
          <w:rFonts w:cstheme="minorHAnsi"/>
          <w:color w:val="000000"/>
        </w:rPr>
        <w:t>.</w:t>
      </w:r>
    </w:p>
    <w:p w14:paraId="0A989610" w14:textId="77777777" w:rsidR="00C85619" w:rsidRPr="003D70EC" w:rsidRDefault="00C85619" w:rsidP="003D70EC">
      <w:pPr>
        <w:pStyle w:val="ListParagraph"/>
        <w:autoSpaceDE w:val="0"/>
        <w:autoSpaceDN w:val="0"/>
        <w:spacing w:after="0" w:line="240" w:lineRule="auto"/>
        <w:rPr>
          <w:rFonts w:cstheme="minorHAnsi"/>
        </w:rPr>
      </w:pPr>
    </w:p>
    <w:p w14:paraId="624A5D91" w14:textId="1496208E" w:rsidR="00C85619" w:rsidRPr="003D70EC" w:rsidRDefault="00C85619" w:rsidP="00394A0B">
      <w:pPr>
        <w:pStyle w:val="ListParagraph"/>
        <w:numPr>
          <w:ilvl w:val="0"/>
          <w:numId w:val="30"/>
        </w:numPr>
        <w:autoSpaceDE w:val="0"/>
        <w:autoSpaceDN w:val="0"/>
        <w:spacing w:after="0"/>
        <w:jc w:val="both"/>
        <w:rPr>
          <w:rFonts w:cstheme="minorHAnsi"/>
        </w:rPr>
      </w:pPr>
      <w:r w:rsidRPr="00C85619">
        <w:rPr>
          <w:rFonts w:cstheme="minorHAnsi"/>
          <w:color w:val="000000"/>
        </w:rPr>
        <w:t xml:space="preserve">Use of </w:t>
      </w:r>
      <w:r w:rsidRPr="003D70EC">
        <w:rPr>
          <w:rFonts w:cstheme="minorHAnsi"/>
        </w:rPr>
        <w:t>Mandatory Energy Labelling Scheme (MELS) regulated appliances with highest tick-rating (i.e. 5</w:t>
      </w:r>
      <w:r w:rsidR="00E638E8">
        <w:rPr>
          <w:rFonts w:cstheme="minorHAnsi"/>
        </w:rPr>
        <w:t xml:space="preserve"> </w:t>
      </w:r>
      <w:r w:rsidRPr="00394A0B">
        <w:rPr>
          <w:rFonts w:cstheme="minorHAnsi"/>
        </w:rPr>
        <w:t>tick</w:t>
      </w:r>
      <w:r w:rsidR="00E638E8">
        <w:rPr>
          <w:rFonts w:cstheme="minorHAnsi"/>
        </w:rPr>
        <w:t>s</w:t>
      </w:r>
      <w:r w:rsidRPr="003D70EC">
        <w:rPr>
          <w:rFonts w:cstheme="minorHAnsi"/>
        </w:rPr>
        <w:t xml:space="preserve"> for television, 4</w:t>
      </w:r>
      <w:r w:rsidR="00E638E8">
        <w:rPr>
          <w:rFonts w:cstheme="minorHAnsi"/>
        </w:rPr>
        <w:t xml:space="preserve"> </w:t>
      </w:r>
      <w:r w:rsidRPr="003D70EC">
        <w:rPr>
          <w:rFonts w:cstheme="minorHAnsi"/>
        </w:rPr>
        <w:t>tick</w:t>
      </w:r>
      <w:r w:rsidR="00E638E8">
        <w:rPr>
          <w:rFonts w:cstheme="minorHAnsi"/>
        </w:rPr>
        <w:t>s</w:t>
      </w:r>
      <w:r w:rsidRPr="003D70EC">
        <w:rPr>
          <w:rFonts w:cstheme="minorHAnsi"/>
        </w:rPr>
        <w:t xml:space="preserve"> for refrigerator, 3</w:t>
      </w:r>
      <w:r w:rsidR="00E638E8">
        <w:rPr>
          <w:rFonts w:cstheme="minorHAnsi"/>
        </w:rPr>
        <w:t xml:space="preserve"> </w:t>
      </w:r>
      <w:r w:rsidRPr="00394A0B">
        <w:rPr>
          <w:rFonts w:cstheme="minorHAnsi"/>
        </w:rPr>
        <w:t>tick</w:t>
      </w:r>
      <w:r w:rsidR="00E638E8">
        <w:rPr>
          <w:rFonts w:cstheme="minorHAnsi"/>
        </w:rPr>
        <w:t>s</w:t>
      </w:r>
      <w:r w:rsidRPr="003D70EC">
        <w:rPr>
          <w:rFonts w:cstheme="minorHAnsi"/>
        </w:rPr>
        <w:t xml:space="preserve"> for lamp</w:t>
      </w:r>
      <w:r w:rsidR="008603E0">
        <w:rPr>
          <w:rFonts w:cstheme="minorHAnsi"/>
        </w:rPr>
        <w:t>)</w:t>
      </w:r>
      <w:r w:rsidR="005F1F7C">
        <w:rPr>
          <w:rFonts w:cstheme="minorHAnsi"/>
        </w:rPr>
        <w:t>.</w:t>
      </w:r>
    </w:p>
    <w:p w14:paraId="5809B0BD" w14:textId="77777777" w:rsidR="004A44EE" w:rsidRDefault="004A44EE" w:rsidP="00394A0B">
      <w:pPr>
        <w:pStyle w:val="ListParagraph"/>
        <w:autoSpaceDE w:val="0"/>
        <w:autoSpaceDN w:val="0"/>
        <w:spacing w:after="0"/>
      </w:pPr>
    </w:p>
    <w:p w14:paraId="2642289F" w14:textId="77777777" w:rsidR="003C2E33" w:rsidRPr="00AE0C6E" w:rsidRDefault="003C2E33" w:rsidP="003C2E33">
      <w:pPr>
        <w:jc w:val="both"/>
        <w:rPr>
          <w:rFonts w:cstheme="minorHAnsi"/>
          <w:caps/>
        </w:rPr>
      </w:pPr>
      <w:r w:rsidRPr="00394A0B">
        <w:rPr>
          <w:rFonts w:cstheme="minorHAnsi"/>
          <w:b/>
          <w:caps/>
          <w:sz w:val="24"/>
          <w:u w:val="single"/>
        </w:rPr>
        <w:t xml:space="preserve">Good Practices </w:t>
      </w:r>
    </w:p>
    <w:p w14:paraId="531D353A" w14:textId="77777777" w:rsidR="002B244D" w:rsidRPr="00176E16" w:rsidRDefault="0014360E" w:rsidP="00394A0B">
      <w:pPr>
        <w:pStyle w:val="Heading2"/>
      </w:pPr>
      <w:r>
        <w:t>D7</w:t>
      </w:r>
      <w:r w:rsidR="00176E16" w:rsidRPr="00176E16">
        <w:t xml:space="preserve"> </w:t>
      </w:r>
      <w:r w:rsidR="002B244D" w:rsidRPr="00176E16">
        <w:t>Company Policies and procedures</w:t>
      </w:r>
      <w:r w:rsidR="001B71C4" w:rsidRPr="00176E16">
        <w:t>:</w:t>
      </w:r>
    </w:p>
    <w:p w14:paraId="228FC744" w14:textId="5E6BA3E7" w:rsidR="001B71C4" w:rsidRDefault="00371425" w:rsidP="00587942">
      <w:pPr>
        <w:pStyle w:val="ListParagraph"/>
        <w:numPr>
          <w:ilvl w:val="0"/>
          <w:numId w:val="29"/>
        </w:numPr>
        <w:jc w:val="both"/>
      </w:pPr>
      <w:r>
        <w:rPr>
          <w:b/>
        </w:rPr>
        <w:t>[Recommended]</w:t>
      </w:r>
      <w:r w:rsidR="00687BA6">
        <w:rPr>
          <w:b/>
        </w:rPr>
        <w:t xml:space="preserve"> </w:t>
      </w:r>
      <w:r w:rsidR="001B71C4">
        <w:t>Organisational sustainability policy</w:t>
      </w:r>
      <w:r>
        <w:t xml:space="preserve">, </w:t>
      </w:r>
      <w:r w:rsidR="004B1973">
        <w:t xml:space="preserve">ESG </w:t>
      </w:r>
      <w:r>
        <w:t>policy</w:t>
      </w:r>
      <w:r w:rsidR="001B71C4">
        <w:t xml:space="preserve"> and implementation plan</w:t>
      </w:r>
      <w:r w:rsidR="005F1F7C">
        <w:t>.</w:t>
      </w:r>
    </w:p>
    <w:p w14:paraId="00DC4357" w14:textId="77777777" w:rsidR="009445BB" w:rsidRDefault="009445BB" w:rsidP="00587942">
      <w:pPr>
        <w:pStyle w:val="ListParagraph"/>
        <w:numPr>
          <w:ilvl w:val="0"/>
          <w:numId w:val="29"/>
        </w:numPr>
        <w:jc w:val="both"/>
      </w:pPr>
      <w:r>
        <w:t xml:space="preserve">Mechanisms in place to encourage staff accountability, awareness and participation. </w:t>
      </w:r>
    </w:p>
    <w:p w14:paraId="1D100699" w14:textId="7B305D03" w:rsidR="00401B62" w:rsidRDefault="00401B62" w:rsidP="00587942">
      <w:pPr>
        <w:pStyle w:val="ListParagraph"/>
        <w:numPr>
          <w:ilvl w:val="0"/>
          <w:numId w:val="29"/>
        </w:numPr>
        <w:jc w:val="both"/>
      </w:pPr>
      <w:r>
        <w:t xml:space="preserve">Display of </w:t>
      </w:r>
      <w:r w:rsidR="005B266E">
        <w:t xml:space="preserve">certification </w:t>
      </w:r>
      <w:r w:rsidR="009306DD">
        <w:t>&lt;</w:t>
      </w:r>
      <w:r w:rsidR="009306DD" w:rsidRPr="000727D5">
        <w:rPr>
          <w:i/>
          <w:highlight w:val="lightGray"/>
        </w:rPr>
        <w:t>Green Mark Plaque</w:t>
      </w:r>
      <w:r w:rsidR="00DA0FD8" w:rsidRPr="000727D5">
        <w:rPr>
          <w:i/>
          <w:highlight w:val="lightGray"/>
        </w:rPr>
        <w:t xml:space="preserve"> / </w:t>
      </w:r>
      <w:r w:rsidR="000727D5" w:rsidRPr="000727D5">
        <w:rPr>
          <w:i/>
          <w:highlight w:val="lightGray"/>
        </w:rPr>
        <w:t>Certificate/ other</w:t>
      </w:r>
      <w:r w:rsidR="009306DD">
        <w:t>&gt;</w:t>
      </w:r>
      <w:r w:rsidR="005B266E">
        <w:t xml:space="preserve"> or </w:t>
      </w:r>
      <w:r>
        <w:t>energy performance and water performance data in public areas</w:t>
      </w:r>
      <w:r w:rsidR="005F1F7C">
        <w:t>.</w:t>
      </w:r>
    </w:p>
    <w:p w14:paraId="0AD9D296" w14:textId="20DD19C8" w:rsidR="0026486E" w:rsidRDefault="009445BB" w:rsidP="00587942">
      <w:pPr>
        <w:pStyle w:val="ListParagraph"/>
        <w:numPr>
          <w:ilvl w:val="0"/>
          <w:numId w:val="29"/>
        </w:numPr>
        <w:jc w:val="both"/>
      </w:pPr>
      <w:r>
        <w:t>Annual waste audit</w:t>
      </w:r>
      <w:r w:rsidR="000D5CAC">
        <w:t xml:space="preserve"> to identify and quantify the sources, amount and types of waste generated in the premises.</w:t>
      </w:r>
      <w:r w:rsidR="003A2529">
        <w:t xml:space="preserve"> A waste audit entails the following: (</w:t>
      </w:r>
      <w:proofErr w:type="spellStart"/>
      <w:r w:rsidR="003A2529">
        <w:t>i</w:t>
      </w:r>
      <w:proofErr w:type="spellEnd"/>
      <w:r w:rsidR="003A2529">
        <w:t xml:space="preserve">) create an audit checklist for all waste types generated from each department, (ii) collect waste samples from all departments, (iii) sort the waste into different types according to the checklist and (iv) weigh the waste types, record the data and analyse results to identify opportunities for waste reduction and recycling. For more information, please refer to the 3R </w:t>
      </w:r>
      <w:r w:rsidR="00325507">
        <w:t xml:space="preserve">programmes and resources available at </w:t>
      </w:r>
      <w:hyperlink r:id="rId16" w:history="1">
        <w:r w:rsidR="005F1F7C" w:rsidRPr="000D7A56">
          <w:rPr>
            <w:rStyle w:val="Hyperlink"/>
          </w:rPr>
          <w:t>https://www.nea.gov.sg/3r</w:t>
        </w:r>
      </w:hyperlink>
      <w:r w:rsidR="003A2529">
        <w:t>.</w:t>
      </w:r>
    </w:p>
    <w:p w14:paraId="6170698B" w14:textId="77777777" w:rsidR="002B244D" w:rsidRPr="00176E16" w:rsidRDefault="00EA2D92" w:rsidP="00394A0B">
      <w:pPr>
        <w:pStyle w:val="Heading2"/>
      </w:pPr>
      <w:r>
        <w:t>D8</w:t>
      </w:r>
      <w:r w:rsidR="00176E16" w:rsidRPr="00176E16">
        <w:t xml:space="preserve"> </w:t>
      </w:r>
      <w:r w:rsidR="002B244D" w:rsidRPr="00176E16">
        <w:t xml:space="preserve">Cleaning </w:t>
      </w:r>
    </w:p>
    <w:p w14:paraId="60392D48" w14:textId="18E0F3C0" w:rsidR="00137101" w:rsidRDefault="002B244D" w:rsidP="00137101">
      <w:pPr>
        <w:pStyle w:val="ListParagraph"/>
        <w:numPr>
          <w:ilvl w:val="0"/>
          <w:numId w:val="31"/>
        </w:numPr>
        <w:jc w:val="both"/>
      </w:pPr>
      <w:r>
        <w:t xml:space="preserve">Tenant shall require that in any cleaning contracts granted directly by it, the cleaning contractor shall use cleaning products certified in accordance </w:t>
      </w:r>
      <w:r w:rsidR="00C92478">
        <w:t>with at least SGBP 2 ticks or equivalent by local certification bodies</w:t>
      </w:r>
      <w:r>
        <w:t>.</w:t>
      </w:r>
    </w:p>
    <w:p w14:paraId="4DCA369A" w14:textId="5167959F" w:rsidR="002B244D" w:rsidRDefault="002B244D" w:rsidP="00587942">
      <w:pPr>
        <w:pStyle w:val="ListParagraph"/>
        <w:numPr>
          <w:ilvl w:val="0"/>
          <w:numId w:val="31"/>
        </w:numPr>
        <w:jc w:val="both"/>
      </w:pPr>
      <w:r>
        <w:t>The Tenant shall ensure that any cleaning contracts require the cleaning contractor to comply with elements of the Environmental Management Plan applicable to it.</w:t>
      </w:r>
      <w:r w:rsidR="003F3BDF">
        <w:t xml:space="preserve"> </w:t>
      </w:r>
      <w:r>
        <w:t>Particularly, any cleaning contracts let by th</w:t>
      </w:r>
      <w:r w:rsidR="003F3BDF">
        <w:t>e Tenant in respect of specialis</w:t>
      </w:r>
      <w:r>
        <w:t>ed green facilities, such</w:t>
      </w:r>
      <w:r w:rsidR="003F3BDF">
        <w:t xml:space="preserve"> </w:t>
      </w:r>
      <w:r>
        <w:t>as waterless urinals, shall ensure the cleaning contractor properly understands and is trained on the</w:t>
      </w:r>
      <w:r w:rsidR="003F3BDF">
        <w:t xml:space="preserve"> maintenance of such specialis</w:t>
      </w:r>
      <w:r>
        <w:t>ed green facilities</w:t>
      </w:r>
      <w:r w:rsidR="003B1F6D">
        <w:t>.</w:t>
      </w:r>
    </w:p>
    <w:p w14:paraId="5FB4311B" w14:textId="3EFA0B73" w:rsidR="00411CC0" w:rsidRDefault="004125D3" w:rsidP="00394A0B">
      <w:pPr>
        <w:pStyle w:val="ListParagraph"/>
        <w:numPr>
          <w:ilvl w:val="0"/>
          <w:numId w:val="31"/>
        </w:numPr>
        <w:jc w:val="both"/>
      </w:pPr>
      <w:r w:rsidRPr="00394A0B">
        <w:rPr>
          <w:b/>
          <w:bCs/>
        </w:rPr>
        <w:t>[Recommended]</w:t>
      </w:r>
      <w:r w:rsidRPr="004125D3">
        <w:t xml:space="preserve"> Use of NEA-registered pesticides and vector control products which are suitable for indoor use.</w:t>
      </w:r>
    </w:p>
    <w:p w14:paraId="525A6CE7" w14:textId="19961512" w:rsidR="00F44FAA" w:rsidRDefault="00411CC0" w:rsidP="00394A0B">
      <w:pPr>
        <w:pStyle w:val="Heading2"/>
        <w:rPr>
          <w:lang w:val="en-SG"/>
        </w:rPr>
      </w:pPr>
      <w:r w:rsidRPr="00394A0B">
        <w:rPr>
          <w:lang w:val="en-SG"/>
        </w:rPr>
        <w:t>D9 Waste and Resource Management</w:t>
      </w:r>
      <w:r w:rsidRPr="003D70EC">
        <w:rPr>
          <w:lang w:val="en-SG"/>
        </w:rPr>
        <w:t xml:space="preserve"> </w:t>
      </w:r>
    </w:p>
    <w:p w14:paraId="5FE4DF72" w14:textId="1CEDAA4D" w:rsidR="00F44FAA" w:rsidRPr="00394A0B" w:rsidRDefault="00D322ED" w:rsidP="00394A0B">
      <w:pPr>
        <w:pStyle w:val="ListParagraph"/>
        <w:numPr>
          <w:ilvl w:val="0"/>
          <w:numId w:val="52"/>
        </w:numPr>
        <w:autoSpaceDE w:val="0"/>
        <w:autoSpaceDN w:val="0"/>
        <w:adjustRightInd w:val="0"/>
        <w:spacing w:before="120" w:after="120"/>
        <w:ind w:left="714" w:hanging="357"/>
        <w:rPr>
          <w:rFonts w:cstheme="minorHAnsi"/>
          <w:color w:val="000000"/>
          <w:lang w:val="en-SG"/>
        </w:rPr>
      </w:pPr>
      <w:r w:rsidRPr="00394A0B">
        <w:rPr>
          <w:rFonts w:cstheme="minorHAnsi"/>
          <w:color w:val="000000"/>
          <w:lang w:val="en-SG"/>
        </w:rPr>
        <w:t>Purchasing and Management of Goods</w:t>
      </w:r>
    </w:p>
    <w:p w14:paraId="2ED84EE0" w14:textId="56F9CBE2" w:rsidR="00F44FAA" w:rsidRPr="000B0B90" w:rsidRDefault="00F44FAA" w:rsidP="00394A0B">
      <w:pPr>
        <w:pStyle w:val="ListParagraph"/>
        <w:numPr>
          <w:ilvl w:val="0"/>
          <w:numId w:val="53"/>
        </w:numPr>
        <w:autoSpaceDE w:val="0"/>
        <w:autoSpaceDN w:val="0"/>
        <w:adjustRightInd w:val="0"/>
        <w:spacing w:after="0"/>
        <w:rPr>
          <w:rFonts w:asciiTheme="majorHAnsi" w:hAnsiTheme="majorHAnsi" w:cstheme="minorHAnsi"/>
          <w:color w:val="000000"/>
          <w:sz w:val="24"/>
          <w:szCs w:val="24"/>
          <w:lang w:val="en-SG"/>
        </w:rPr>
      </w:pPr>
      <w:r>
        <w:rPr>
          <w:rFonts w:cstheme="minorHAnsi"/>
          <w:color w:val="000000"/>
          <w:lang w:val="en-SG"/>
        </w:rPr>
        <w:t>W</w:t>
      </w:r>
      <w:r w:rsidRPr="00DB3046">
        <w:rPr>
          <w:rFonts w:cstheme="minorHAnsi"/>
          <w:color w:val="000000"/>
          <w:lang w:val="en-SG"/>
        </w:rPr>
        <w:t xml:space="preserve">ork with suppliers to deliver goods without or with less </w:t>
      </w:r>
      <w:r>
        <w:rPr>
          <w:rFonts w:cstheme="minorHAnsi"/>
          <w:color w:val="000000"/>
          <w:lang w:val="en-SG"/>
        </w:rPr>
        <w:t xml:space="preserve">disposable </w:t>
      </w:r>
      <w:r w:rsidRPr="00DB3046">
        <w:rPr>
          <w:rFonts w:cstheme="minorHAnsi"/>
          <w:color w:val="000000"/>
          <w:lang w:val="en-SG"/>
        </w:rPr>
        <w:t>packaging</w:t>
      </w:r>
    </w:p>
    <w:p w14:paraId="1E3FAC61" w14:textId="2DB3024C" w:rsidR="00BA0999" w:rsidRPr="000B0B90" w:rsidRDefault="00D322ED" w:rsidP="00394A0B">
      <w:pPr>
        <w:pStyle w:val="ListParagraph"/>
        <w:numPr>
          <w:ilvl w:val="0"/>
          <w:numId w:val="53"/>
        </w:numPr>
        <w:autoSpaceDE w:val="0"/>
        <w:autoSpaceDN w:val="0"/>
        <w:adjustRightInd w:val="0"/>
        <w:spacing w:after="0"/>
        <w:rPr>
          <w:rFonts w:asciiTheme="majorHAnsi" w:hAnsiTheme="majorHAnsi" w:cstheme="minorHAnsi"/>
          <w:color w:val="000000"/>
          <w:sz w:val="24"/>
          <w:szCs w:val="24"/>
          <w:lang w:val="en-SG"/>
        </w:rPr>
      </w:pPr>
      <w:r>
        <w:rPr>
          <w:rFonts w:cstheme="minorHAnsi"/>
          <w:color w:val="000000"/>
          <w:lang w:val="en-SG"/>
        </w:rPr>
        <w:t>Purchase</w:t>
      </w:r>
      <w:r w:rsidR="00412205" w:rsidRPr="00DB3046">
        <w:rPr>
          <w:rFonts w:cstheme="minorHAnsi"/>
          <w:color w:val="000000"/>
          <w:lang w:val="en-SG"/>
        </w:rPr>
        <w:t xml:space="preserve"> products with recycled content/less packaging</w:t>
      </w:r>
      <w:r w:rsidR="00412205">
        <w:rPr>
          <w:rFonts w:cstheme="minorHAnsi"/>
          <w:color w:val="000000"/>
          <w:lang w:val="en-SG"/>
        </w:rPr>
        <w:t xml:space="preserve"> material</w:t>
      </w:r>
    </w:p>
    <w:p w14:paraId="4383539C" w14:textId="103AF3E8" w:rsidR="00412205" w:rsidRPr="00D45AC6" w:rsidRDefault="00D45AC6" w:rsidP="00394A0B">
      <w:pPr>
        <w:pStyle w:val="ListParagraph"/>
        <w:numPr>
          <w:ilvl w:val="0"/>
          <w:numId w:val="53"/>
        </w:numPr>
        <w:autoSpaceDE w:val="0"/>
        <w:autoSpaceDN w:val="0"/>
        <w:adjustRightInd w:val="0"/>
        <w:spacing w:after="0"/>
        <w:rPr>
          <w:rFonts w:asciiTheme="majorHAnsi" w:hAnsiTheme="majorHAnsi"/>
          <w:sz w:val="24"/>
          <w:szCs w:val="24"/>
          <w:lang w:val="en-SG"/>
        </w:rPr>
      </w:pPr>
      <w:r w:rsidRPr="00394A0B">
        <w:rPr>
          <w:rFonts w:cstheme="minorHAnsi"/>
          <w:color w:val="000000"/>
          <w:lang w:val="en-SG"/>
        </w:rPr>
        <w:t>Purchase reusables instead of single-use items wherever possible</w:t>
      </w:r>
    </w:p>
    <w:p w14:paraId="576E0D11" w14:textId="4A3CA4D8" w:rsidR="00412205" w:rsidRPr="00394A0B" w:rsidRDefault="00412205" w:rsidP="00394A0B">
      <w:pPr>
        <w:pStyle w:val="ListParagraph"/>
        <w:numPr>
          <w:ilvl w:val="0"/>
          <w:numId w:val="52"/>
        </w:numPr>
        <w:autoSpaceDE w:val="0"/>
        <w:autoSpaceDN w:val="0"/>
        <w:adjustRightInd w:val="0"/>
        <w:spacing w:before="120" w:after="120"/>
        <w:ind w:left="714" w:hanging="357"/>
        <w:rPr>
          <w:rFonts w:cstheme="minorHAnsi"/>
          <w:color w:val="000000"/>
          <w:lang w:val="en-SG"/>
        </w:rPr>
      </w:pPr>
      <w:r w:rsidRPr="00394A0B">
        <w:rPr>
          <w:rFonts w:cstheme="minorHAnsi"/>
          <w:color w:val="000000"/>
          <w:lang w:val="en-SG"/>
        </w:rPr>
        <w:t>Facilities and Operations</w:t>
      </w:r>
    </w:p>
    <w:p w14:paraId="07320F50" w14:textId="40ABC1E7" w:rsidR="00C504F0" w:rsidRPr="00D322ED" w:rsidRDefault="00D322ED" w:rsidP="00394A0B">
      <w:pPr>
        <w:pStyle w:val="ListParagraph"/>
        <w:numPr>
          <w:ilvl w:val="0"/>
          <w:numId w:val="53"/>
        </w:numPr>
        <w:autoSpaceDE w:val="0"/>
        <w:autoSpaceDN w:val="0"/>
        <w:adjustRightInd w:val="0"/>
        <w:spacing w:after="0"/>
        <w:jc w:val="both"/>
        <w:rPr>
          <w:rFonts w:cstheme="minorHAnsi"/>
          <w:color w:val="000000"/>
          <w:lang w:val="en-SG"/>
        </w:rPr>
      </w:pPr>
      <w:r w:rsidRPr="00D322ED">
        <w:rPr>
          <w:rFonts w:cstheme="minorHAnsi"/>
          <w:color w:val="000000"/>
          <w:lang w:val="en-SG"/>
        </w:rPr>
        <w:t xml:space="preserve">Provide </w:t>
      </w:r>
      <w:r w:rsidR="00D45AC6">
        <w:rPr>
          <w:rFonts w:cstheme="minorHAnsi"/>
          <w:color w:val="000000"/>
          <w:lang w:val="en-SG"/>
        </w:rPr>
        <w:t xml:space="preserve">reusables instead of single-use items </w:t>
      </w:r>
      <w:r w:rsidRPr="00D322ED">
        <w:rPr>
          <w:rFonts w:cstheme="minorHAnsi"/>
          <w:color w:val="000000"/>
          <w:lang w:val="en-SG"/>
        </w:rPr>
        <w:t xml:space="preserve">for staff use (e.g. </w:t>
      </w:r>
      <w:r w:rsidRPr="00171558">
        <w:rPr>
          <w:rFonts w:cstheme="minorHAnsi"/>
          <w:color w:val="000000"/>
          <w:lang w:val="en-SG"/>
        </w:rPr>
        <w:t>reusable crockery</w:t>
      </w:r>
      <w:r w:rsidR="000E3ECE">
        <w:rPr>
          <w:rFonts w:cstheme="minorHAnsi"/>
          <w:color w:val="000000"/>
          <w:lang w:val="en-SG"/>
        </w:rPr>
        <w:t xml:space="preserve"> and </w:t>
      </w:r>
      <w:r w:rsidRPr="000E3ECE">
        <w:rPr>
          <w:rFonts w:cstheme="minorHAnsi"/>
          <w:color w:val="000000"/>
          <w:lang w:val="en-SG"/>
        </w:rPr>
        <w:t xml:space="preserve">cutlery at pantries, </w:t>
      </w:r>
      <w:r w:rsidRPr="00D322ED">
        <w:rPr>
          <w:rFonts w:cstheme="minorHAnsi"/>
          <w:color w:val="000000"/>
          <w:lang w:val="en-SG"/>
        </w:rPr>
        <w:t>reusable bags</w:t>
      </w:r>
      <w:r>
        <w:rPr>
          <w:rFonts w:cstheme="minorHAnsi"/>
          <w:color w:val="000000"/>
          <w:lang w:val="en-SG"/>
        </w:rPr>
        <w:t>,</w:t>
      </w:r>
      <w:r w:rsidRPr="00D322ED">
        <w:rPr>
          <w:rFonts w:cstheme="minorHAnsi"/>
          <w:color w:val="000000"/>
          <w:lang w:val="en-SG"/>
        </w:rPr>
        <w:t xml:space="preserve"> </w:t>
      </w:r>
      <w:r w:rsidR="00F44FAA" w:rsidRPr="00D322ED">
        <w:rPr>
          <w:rFonts w:cstheme="minorHAnsi"/>
          <w:color w:val="000000"/>
          <w:lang w:val="en-SG"/>
        </w:rPr>
        <w:t>water dispensers</w:t>
      </w:r>
      <w:r>
        <w:rPr>
          <w:rFonts w:cstheme="minorHAnsi"/>
          <w:color w:val="000000"/>
          <w:lang w:val="en-SG"/>
        </w:rPr>
        <w:t>/</w:t>
      </w:r>
      <w:r w:rsidR="00F44FAA" w:rsidRPr="00D322ED">
        <w:rPr>
          <w:rFonts w:cstheme="minorHAnsi"/>
          <w:color w:val="000000"/>
          <w:lang w:val="en-SG"/>
        </w:rPr>
        <w:t>water jugs and reusable cups</w:t>
      </w:r>
      <w:r>
        <w:rPr>
          <w:rFonts w:cstheme="minorHAnsi"/>
          <w:color w:val="000000"/>
          <w:lang w:val="en-SG"/>
        </w:rPr>
        <w:t xml:space="preserve"> in meeting rooms)</w:t>
      </w:r>
    </w:p>
    <w:p w14:paraId="2E3A8C3C" w14:textId="328CB4C0" w:rsidR="00F44FAA" w:rsidRPr="000B0B90" w:rsidRDefault="00F44FAA" w:rsidP="00394A0B">
      <w:pPr>
        <w:pStyle w:val="ListParagraph"/>
        <w:numPr>
          <w:ilvl w:val="0"/>
          <w:numId w:val="53"/>
        </w:numPr>
        <w:autoSpaceDE w:val="0"/>
        <w:autoSpaceDN w:val="0"/>
        <w:adjustRightInd w:val="0"/>
        <w:spacing w:after="0"/>
        <w:jc w:val="both"/>
        <w:rPr>
          <w:rFonts w:cstheme="minorHAnsi"/>
          <w:color w:val="000000"/>
          <w:lang w:val="en-SG"/>
        </w:rPr>
      </w:pPr>
      <w:r w:rsidRPr="000B0B90">
        <w:rPr>
          <w:rFonts w:cstheme="minorHAnsi"/>
          <w:color w:val="000000"/>
          <w:lang w:val="en-SG"/>
        </w:rPr>
        <w:t>Track and reduce printing and photocopying volumes of each employee/department</w:t>
      </w:r>
      <w:r w:rsidR="002D13C2">
        <w:rPr>
          <w:rFonts w:cstheme="minorHAnsi"/>
          <w:color w:val="000000"/>
          <w:lang w:val="en-SG"/>
        </w:rPr>
        <w:t xml:space="preserve"> </w:t>
      </w:r>
    </w:p>
    <w:p w14:paraId="1BCD5F01" w14:textId="5C4505A3" w:rsidR="00F44FAA" w:rsidRPr="00C07B60" w:rsidRDefault="00D45AC6" w:rsidP="00394A0B">
      <w:pPr>
        <w:pStyle w:val="ListParagraph"/>
        <w:numPr>
          <w:ilvl w:val="0"/>
          <w:numId w:val="53"/>
        </w:numPr>
        <w:autoSpaceDE w:val="0"/>
        <w:autoSpaceDN w:val="0"/>
        <w:adjustRightInd w:val="0"/>
        <w:spacing w:after="0"/>
        <w:jc w:val="both"/>
        <w:rPr>
          <w:rFonts w:cstheme="minorHAnsi"/>
          <w:color w:val="000000"/>
          <w:lang w:val="en-SG"/>
        </w:rPr>
      </w:pPr>
      <w:r w:rsidRPr="00C07B60">
        <w:rPr>
          <w:rFonts w:cstheme="minorHAnsi"/>
          <w:color w:val="000000"/>
          <w:lang w:val="en-SG"/>
        </w:rPr>
        <w:t xml:space="preserve">Go digital </w:t>
      </w:r>
      <w:r w:rsidR="00F44FAA" w:rsidRPr="00C07B60">
        <w:rPr>
          <w:rFonts w:cstheme="minorHAnsi"/>
          <w:color w:val="000000"/>
          <w:lang w:val="en-SG"/>
        </w:rPr>
        <w:t>(e.g.  online portal</w:t>
      </w:r>
      <w:r w:rsidR="000E3ECE" w:rsidRPr="00C07B60">
        <w:rPr>
          <w:rFonts w:cstheme="minorHAnsi"/>
          <w:color w:val="000000"/>
          <w:lang w:val="en-SG"/>
        </w:rPr>
        <w:t>, sharing platforms, online repository</w:t>
      </w:r>
      <w:r w:rsidR="00F44FAA" w:rsidRPr="00C07B60">
        <w:rPr>
          <w:rFonts w:cstheme="minorHAnsi"/>
          <w:color w:val="000000"/>
          <w:lang w:val="en-SG"/>
        </w:rPr>
        <w:t>)</w:t>
      </w:r>
    </w:p>
    <w:p w14:paraId="649F2155" w14:textId="1CCDEC9B" w:rsidR="00F44FAA" w:rsidRPr="00C07B60" w:rsidRDefault="00F44FAA" w:rsidP="00394A0B">
      <w:pPr>
        <w:pStyle w:val="ListParagraph"/>
        <w:numPr>
          <w:ilvl w:val="0"/>
          <w:numId w:val="53"/>
        </w:numPr>
        <w:autoSpaceDE w:val="0"/>
        <w:autoSpaceDN w:val="0"/>
        <w:adjustRightInd w:val="0"/>
        <w:spacing w:after="0"/>
        <w:jc w:val="both"/>
        <w:rPr>
          <w:rFonts w:cstheme="minorHAnsi"/>
          <w:color w:val="000000"/>
          <w:lang w:val="en-SG"/>
        </w:rPr>
      </w:pPr>
      <w:r w:rsidRPr="00C07B60">
        <w:rPr>
          <w:rFonts w:cstheme="minorHAnsi"/>
          <w:color w:val="000000"/>
          <w:lang w:val="en-SG"/>
        </w:rPr>
        <w:lastRenderedPageBreak/>
        <w:t>Provi</w:t>
      </w:r>
      <w:r w:rsidR="00171558" w:rsidRPr="00C07B60">
        <w:rPr>
          <w:rFonts w:cstheme="minorHAnsi"/>
          <w:color w:val="000000"/>
          <w:lang w:val="en-SG"/>
        </w:rPr>
        <w:t>de</w:t>
      </w:r>
      <w:r w:rsidRPr="00C07B60">
        <w:rPr>
          <w:rFonts w:cstheme="minorHAnsi"/>
          <w:color w:val="000000"/>
          <w:lang w:val="en-SG"/>
        </w:rPr>
        <w:t xml:space="preserve"> recycling bins </w:t>
      </w:r>
      <w:r w:rsidR="00E638E8" w:rsidRPr="00C07B60">
        <w:rPr>
          <w:rFonts w:cstheme="minorHAnsi"/>
          <w:color w:val="000000"/>
          <w:lang w:val="en-SG"/>
        </w:rPr>
        <w:t>within the premises</w:t>
      </w:r>
      <w:r w:rsidRPr="00C07B60">
        <w:rPr>
          <w:rFonts w:cstheme="minorHAnsi"/>
          <w:color w:val="000000"/>
          <w:lang w:val="en-SG"/>
        </w:rPr>
        <w:t xml:space="preserve"> </w:t>
      </w:r>
      <w:r w:rsidR="000E3ECE" w:rsidRPr="00C07B60">
        <w:rPr>
          <w:rFonts w:cstheme="minorHAnsi"/>
          <w:color w:val="000000"/>
          <w:lang w:val="en-SG"/>
        </w:rPr>
        <w:t xml:space="preserve">for staff </w:t>
      </w:r>
      <w:r w:rsidRPr="00C07B60">
        <w:rPr>
          <w:rFonts w:cstheme="minorHAnsi"/>
          <w:color w:val="000000"/>
          <w:lang w:val="en-SG"/>
        </w:rPr>
        <w:t xml:space="preserve">to </w:t>
      </w:r>
      <w:r w:rsidR="000E3ECE" w:rsidRPr="00C07B60">
        <w:rPr>
          <w:rFonts w:cstheme="minorHAnsi"/>
          <w:color w:val="000000"/>
          <w:lang w:val="en-SG"/>
        </w:rPr>
        <w:t xml:space="preserve">recycle </w:t>
      </w:r>
      <w:r w:rsidRPr="00C07B60">
        <w:rPr>
          <w:rFonts w:cstheme="minorHAnsi"/>
          <w:color w:val="000000"/>
          <w:lang w:val="en-SG"/>
        </w:rPr>
        <w:t>paper</w:t>
      </w:r>
      <w:r w:rsidR="002D13C2" w:rsidRPr="00C07B60">
        <w:rPr>
          <w:rFonts w:cstheme="minorHAnsi"/>
          <w:color w:val="000000"/>
          <w:lang w:val="en-SG"/>
        </w:rPr>
        <w:t>/</w:t>
      </w:r>
      <w:r w:rsidR="00412205" w:rsidRPr="00C07B60">
        <w:rPr>
          <w:rFonts w:cstheme="minorHAnsi"/>
          <w:color w:val="000000"/>
          <w:lang w:val="en-SG"/>
        </w:rPr>
        <w:t xml:space="preserve">cardboard, </w:t>
      </w:r>
      <w:r w:rsidRPr="00C07B60">
        <w:rPr>
          <w:rFonts w:cstheme="minorHAnsi"/>
          <w:color w:val="000000"/>
          <w:lang w:val="en-SG"/>
        </w:rPr>
        <w:t>plastic, glass, and metal</w:t>
      </w:r>
    </w:p>
    <w:p w14:paraId="3F334ED0" w14:textId="7C60D484" w:rsidR="00F44FAA" w:rsidRPr="00412205" w:rsidRDefault="00D45AC6" w:rsidP="00394A0B">
      <w:pPr>
        <w:pStyle w:val="ListParagraph"/>
        <w:numPr>
          <w:ilvl w:val="0"/>
          <w:numId w:val="53"/>
        </w:numPr>
        <w:autoSpaceDE w:val="0"/>
        <w:autoSpaceDN w:val="0"/>
        <w:adjustRightInd w:val="0"/>
        <w:spacing w:after="0"/>
        <w:jc w:val="both"/>
        <w:rPr>
          <w:rFonts w:cstheme="minorHAnsi"/>
          <w:color w:val="000000"/>
          <w:lang w:val="en-SG"/>
        </w:rPr>
      </w:pPr>
      <w:r>
        <w:rPr>
          <w:rFonts w:cstheme="minorHAnsi"/>
          <w:color w:val="000000"/>
          <w:lang w:val="en-SG"/>
        </w:rPr>
        <w:t xml:space="preserve">Donate unwanted items that are still in working condition (e.g. check on this as part of the disposal process, organise donation drives) </w:t>
      </w:r>
      <w:r w:rsidR="002D13C2">
        <w:rPr>
          <w:rFonts w:cstheme="minorHAnsi"/>
          <w:color w:val="000000"/>
          <w:lang w:val="en-SG"/>
        </w:rPr>
        <w:t xml:space="preserve"> </w:t>
      </w:r>
    </w:p>
    <w:p w14:paraId="5D31CCCD" w14:textId="6BC7CFAD" w:rsidR="00411CC0" w:rsidRDefault="00F44FAA" w:rsidP="00394A0B">
      <w:pPr>
        <w:pStyle w:val="ListParagraph"/>
        <w:numPr>
          <w:ilvl w:val="0"/>
          <w:numId w:val="53"/>
        </w:numPr>
        <w:autoSpaceDE w:val="0"/>
        <w:autoSpaceDN w:val="0"/>
        <w:adjustRightInd w:val="0"/>
        <w:spacing w:after="0"/>
        <w:jc w:val="both"/>
        <w:rPr>
          <w:lang w:val="en-SG"/>
        </w:rPr>
      </w:pPr>
      <w:r w:rsidRPr="00412205">
        <w:rPr>
          <w:rFonts w:cstheme="minorHAnsi"/>
          <w:color w:val="000000"/>
          <w:lang w:val="en-SG"/>
        </w:rPr>
        <w:t xml:space="preserve">Repair/refurbish </w:t>
      </w:r>
      <w:r w:rsidR="00D322ED">
        <w:rPr>
          <w:rFonts w:cstheme="minorHAnsi"/>
          <w:color w:val="000000"/>
          <w:lang w:val="en-SG"/>
        </w:rPr>
        <w:t xml:space="preserve">furniture </w:t>
      </w:r>
      <w:r w:rsidRPr="00412205">
        <w:rPr>
          <w:rFonts w:cstheme="minorHAnsi"/>
          <w:color w:val="000000"/>
          <w:lang w:val="en-SG"/>
        </w:rPr>
        <w:t>/devices to prolong their lifespan</w:t>
      </w:r>
    </w:p>
    <w:p w14:paraId="7555E0B0" w14:textId="77777777" w:rsidR="009E3144" w:rsidRDefault="009E3144" w:rsidP="00587942">
      <w:pPr>
        <w:pStyle w:val="Default"/>
        <w:jc w:val="both"/>
        <w:rPr>
          <w:b/>
          <w:bCs/>
          <w:sz w:val="23"/>
          <w:szCs w:val="23"/>
        </w:rPr>
      </w:pPr>
    </w:p>
    <w:p w14:paraId="3BAA8A61" w14:textId="77777777" w:rsidR="00D83BCA" w:rsidRDefault="00D83BCA" w:rsidP="00394A0B">
      <w:pPr>
        <w:pStyle w:val="Heading2"/>
      </w:pPr>
      <w:r>
        <w:t>D10 Indoor Contaminants Management</w:t>
      </w:r>
    </w:p>
    <w:p w14:paraId="3919CD4F" w14:textId="15A03E39" w:rsidR="0074093F" w:rsidRDefault="0074093F" w:rsidP="0074093F">
      <w:pPr>
        <w:pStyle w:val="ListParagraph"/>
        <w:numPr>
          <w:ilvl w:val="0"/>
          <w:numId w:val="55"/>
        </w:numPr>
        <w:jc w:val="both"/>
      </w:pPr>
      <w:r w:rsidRPr="0074093F">
        <w:t>Conduct pre-occupancy flush out after the completion of construction and all fitting-out of interior finishes (including fixed furniture and furnishings) for all occupied spaces to remove the contaminants</w:t>
      </w:r>
      <w:r w:rsidR="003B1F6D">
        <w:t>.</w:t>
      </w:r>
    </w:p>
    <w:p w14:paraId="11D0F230" w14:textId="3F7FD86A" w:rsidR="0074093F" w:rsidRDefault="0074093F" w:rsidP="0074093F">
      <w:pPr>
        <w:pStyle w:val="ListParagraph"/>
        <w:numPr>
          <w:ilvl w:val="0"/>
          <w:numId w:val="55"/>
        </w:numPr>
        <w:jc w:val="both"/>
      </w:pPr>
      <w:r w:rsidRPr="0074093F">
        <w:t>Local isolation and exhaust systems to remove pollutants at source e.g. utility areas (for printing and photocopying), toilets, cleaning and chemical storage</w:t>
      </w:r>
      <w:r w:rsidR="003B1F6D">
        <w:t>.</w:t>
      </w:r>
    </w:p>
    <w:p w14:paraId="2DE62A5D" w14:textId="1D50F742" w:rsidR="0074093F" w:rsidRDefault="0074093F" w:rsidP="0074093F">
      <w:pPr>
        <w:pStyle w:val="ListParagraph"/>
        <w:numPr>
          <w:ilvl w:val="0"/>
          <w:numId w:val="55"/>
        </w:numPr>
        <w:jc w:val="both"/>
      </w:pPr>
      <w:r>
        <w:t xml:space="preserve">Monitoring systems to ensure optimal thermal and indoor air quality standards as set out in </w:t>
      </w:r>
      <w:r w:rsidRPr="00F1464B">
        <w:rPr>
          <w:b/>
        </w:rPr>
        <w:t>SS 554:</w:t>
      </w:r>
      <w:r>
        <w:rPr>
          <w:b/>
        </w:rPr>
        <w:t xml:space="preserve"> 2016</w:t>
      </w:r>
      <w:r>
        <w:t xml:space="preserve"> or prevailing standards</w:t>
      </w:r>
      <w:r w:rsidR="003B1F6D">
        <w:t>.</w:t>
      </w:r>
    </w:p>
    <w:p w14:paraId="71F40361" w14:textId="003A372C" w:rsidR="0074093F" w:rsidRDefault="0074093F" w:rsidP="0074093F">
      <w:pPr>
        <w:pStyle w:val="ListParagraph"/>
        <w:numPr>
          <w:ilvl w:val="0"/>
          <w:numId w:val="55"/>
        </w:numPr>
        <w:jc w:val="both"/>
      </w:pPr>
      <w:r>
        <w:t>Ventilation and air conditioning systems to be regularly inspected, cleaned and maintained to ensure the required ventilation provision into occupiable spaces in a building according to SS553:2016</w:t>
      </w:r>
      <w:r w:rsidR="00170824">
        <w:t xml:space="preserve"> or prevailing standards</w:t>
      </w:r>
      <w:r>
        <w:t>.</w:t>
      </w:r>
    </w:p>
    <w:p w14:paraId="0D9BCB35" w14:textId="5E3EFFA9" w:rsidR="0074093F" w:rsidRDefault="0074093F" w:rsidP="0074093F">
      <w:pPr>
        <w:pStyle w:val="ListParagraph"/>
        <w:numPr>
          <w:ilvl w:val="0"/>
          <w:numId w:val="55"/>
        </w:numPr>
        <w:jc w:val="both"/>
      </w:pPr>
      <w:r w:rsidRPr="0074093F">
        <w:t>Conduct yearly post occupancy evaluation to assess occupant’s satisfaction with the indoor environment</w:t>
      </w:r>
      <w:r>
        <w:t xml:space="preserve"> and take </w:t>
      </w:r>
      <w:r w:rsidRPr="0074093F">
        <w:t>corrective actions</w:t>
      </w:r>
      <w:r>
        <w:t xml:space="preserve"> for dissatisfaction. Aggregated r</w:t>
      </w:r>
      <w:r w:rsidRPr="0074093F">
        <w:t xml:space="preserve">esults </w:t>
      </w:r>
      <w:r>
        <w:t xml:space="preserve">should also be communicated </w:t>
      </w:r>
      <w:r w:rsidRPr="0074093F">
        <w:t>with occupants</w:t>
      </w:r>
      <w:r>
        <w:t xml:space="preserve">. </w:t>
      </w:r>
    </w:p>
    <w:p w14:paraId="7A99AE01" w14:textId="6B771017" w:rsidR="004C7550" w:rsidRDefault="0074093F" w:rsidP="0074093F">
      <w:pPr>
        <w:jc w:val="both"/>
        <w:rPr>
          <w:rFonts w:ascii="Times New Roman" w:hAnsi="Times New Roman" w:cs="Times New Roman"/>
          <w:b/>
          <w:bCs/>
          <w:color w:val="000000"/>
          <w:sz w:val="23"/>
          <w:szCs w:val="23"/>
        </w:rPr>
      </w:pPr>
      <w:r>
        <w:t>Indoor CO2 levels compared to outdoor CO2 levels of not greater than 700 Parts Per Million (“PPM”) measured in accordance with SS 554: 2016 or prevailing standard as it may be amended or replaced from time to time.</w:t>
      </w:r>
    </w:p>
    <w:p w14:paraId="3C5DF9C0" w14:textId="77777777" w:rsidR="00C64136" w:rsidRDefault="00C64136">
      <w:pPr>
        <w:rPr>
          <w:rFonts w:asciiTheme="majorHAnsi" w:eastAsiaTheme="majorEastAsia" w:hAnsiTheme="majorHAnsi" w:cstheme="majorBidi"/>
          <w:b/>
          <w:sz w:val="28"/>
          <w:szCs w:val="32"/>
        </w:rPr>
      </w:pPr>
      <w:bookmarkStart w:id="8" w:name="_Toc73527101"/>
      <w:r>
        <w:br w:type="page"/>
      </w:r>
    </w:p>
    <w:p w14:paraId="74B5561E" w14:textId="4550807C" w:rsidR="00401B62" w:rsidRPr="00687954" w:rsidRDefault="00401B62" w:rsidP="00394A0B">
      <w:pPr>
        <w:pStyle w:val="Heading1"/>
      </w:pPr>
      <w:r w:rsidRPr="00687954">
        <w:lastRenderedPageBreak/>
        <w:t xml:space="preserve">Section </w:t>
      </w:r>
      <w:r w:rsidR="00B2368F">
        <w:t>E</w:t>
      </w:r>
      <w:r w:rsidRPr="00687954">
        <w:t xml:space="preserve">: </w:t>
      </w:r>
      <w:r>
        <w:t>Environmental Assessment and Reporting</w:t>
      </w:r>
      <w:bookmarkEnd w:id="8"/>
    </w:p>
    <w:p w14:paraId="6BB5C38B" w14:textId="77777777" w:rsidR="00401B62" w:rsidRPr="00303E3B" w:rsidRDefault="009E3144" w:rsidP="00587942">
      <w:pPr>
        <w:jc w:val="both"/>
      </w:pPr>
      <w:r w:rsidRPr="00303E3B">
        <w:t>The Landlord and Tenant, acting reasonably and in good faith, agree to cooperate from time to time in determining compliance with the Environmental Ob</w:t>
      </w:r>
      <w:r w:rsidR="00401B62" w:rsidRPr="00303E3B">
        <w:t xml:space="preserve">jectives as set out in Section A </w:t>
      </w:r>
      <w:r w:rsidR="00B2368F" w:rsidRPr="00303E3B">
        <w:t>to D</w:t>
      </w:r>
      <w:r w:rsidRPr="00303E3B">
        <w:t xml:space="preserve"> herein and in refining such Environmental Objectives from time to time. </w:t>
      </w:r>
      <w:r w:rsidR="000E6B2A" w:rsidRPr="00303E3B">
        <w:rPr>
          <w:b/>
          <w:u w:val="single"/>
        </w:rPr>
        <w:t>A Building Management Committee</w:t>
      </w:r>
      <w:r w:rsidR="000E6B2A" w:rsidRPr="00303E3B">
        <w:t xml:space="preserve"> representative of the Landlord and Tenant(s) shall be formed and is charged with the responsibility to develop the Environmental Objectives, to implement the objectives, monitor the performance of the building and report periodically on the outcomes. </w:t>
      </w:r>
      <w:r w:rsidR="00B2368F" w:rsidRPr="00303E3B">
        <w:t>Building Management Committee</w:t>
      </w:r>
      <w:r w:rsidRPr="00303E3B">
        <w:t xml:space="preserve"> agree to meet at least </w:t>
      </w:r>
      <w:r w:rsidR="00303E3B" w:rsidRPr="00303E3B">
        <w:t>&lt;</w:t>
      </w:r>
      <w:r w:rsidR="00E53E18" w:rsidRPr="000727D5">
        <w:rPr>
          <w:i/>
          <w:highlight w:val="lightGray"/>
        </w:rPr>
        <w:t>2</w:t>
      </w:r>
      <w:r w:rsidRPr="000727D5">
        <w:rPr>
          <w:i/>
          <w:highlight w:val="lightGray"/>
        </w:rPr>
        <w:t xml:space="preserve"> </w:t>
      </w:r>
      <w:r w:rsidR="00101AD8" w:rsidRPr="000727D5">
        <w:rPr>
          <w:i/>
          <w:highlight w:val="lightGray"/>
        </w:rPr>
        <w:t xml:space="preserve">(twice) </w:t>
      </w:r>
      <w:r w:rsidRPr="000727D5">
        <w:rPr>
          <w:i/>
          <w:highlight w:val="lightGray"/>
        </w:rPr>
        <w:t>annually</w:t>
      </w:r>
      <w:r w:rsidR="00303E3B" w:rsidRPr="00303E3B">
        <w:t>&gt;</w:t>
      </w:r>
      <w:r w:rsidRPr="00303E3B">
        <w:t xml:space="preserve"> in order to determine and discuss the achievement of the Environmental Objectives for the Building and the Premises and any further steps that could be taken to achieve the Environmental Objectives</w:t>
      </w:r>
      <w:r w:rsidR="000E6B2A" w:rsidRPr="00303E3B">
        <w:t>.</w:t>
      </w:r>
    </w:p>
    <w:sectPr w:rsidR="00401B62" w:rsidRPr="00303E3B" w:rsidSect="00394A0B">
      <w:headerReference w:type="default" r:id="rId17"/>
      <w:footerReference w:type="default" r:id="rId18"/>
      <w:pgSz w:w="11906" w:h="16838"/>
      <w:pgMar w:top="1440" w:right="1440" w:bottom="1440" w:left="1440" w:header="709" w:footer="709"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BEC46" w16cex:dateUtc="2021-07-28T06:46:00Z"/>
  <w16cex:commentExtensible w16cex:durableId="24ABED55" w16cex:dateUtc="2021-07-28T06:51:00Z"/>
  <w16cex:commentExtensible w16cex:durableId="24ABEE80" w16cex:dateUtc="2021-07-28T06:56:00Z"/>
  <w16cex:commentExtensible w16cex:durableId="24AC00CD" w16cex:dateUtc="2021-07-28T08:14:00Z"/>
  <w16cex:commentExtensible w16cex:durableId="248466DA" w16cex:dateUtc="2021-06-28T07:18:00Z"/>
  <w16cex:commentExtensible w16cex:durableId="24857FED" w16cex:dateUtc="2021-06-29T03:18:00Z"/>
  <w16cex:commentExtensible w16cex:durableId="246F48B7" w16cex:dateUtc="2021-06-12T06:52:00Z"/>
  <w16cex:commentExtensible w16cex:durableId="24AC017C" w16cex:dateUtc="2021-07-28T08:17:00Z"/>
  <w16cex:commentExtensible w16cex:durableId="24884F35" w16cex:dateUtc="2021-07-01T06:27:00Z"/>
  <w16cex:commentExtensible w16cex:durableId="248561FC" w16cex:dateUtc="2021-06-29T01:10:00Z"/>
  <w16cex:commentExtensible w16cex:durableId="248EC06F" w16cex:dateUtc="2021-07-06T03:43:00Z"/>
  <w16cex:commentExtensible w16cex:durableId="24AC0274" w16cex:dateUtc="2021-07-28T08:21:00Z"/>
  <w16cex:commentExtensible w16cex:durableId="248581A3" w16cex:dateUtc="2021-06-29T03:25:00Z"/>
  <w16cex:commentExtensible w16cex:durableId="24AC0352" w16cex:dateUtc="2021-07-28T08:24:00Z"/>
  <w16cex:commentExtensible w16cex:durableId="246F4A65" w16cex:dateUtc="2021-06-12T06:59:00Z"/>
  <w16cex:commentExtensible w16cex:durableId="247C2B47" w16cex:dateUtc="2021-06-22T01: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8F4D9" w14:textId="77777777" w:rsidR="00F00B46" w:rsidRDefault="00F00B46" w:rsidP="009306DD">
      <w:pPr>
        <w:spacing w:after="0" w:line="240" w:lineRule="auto"/>
      </w:pPr>
      <w:r>
        <w:separator/>
      </w:r>
    </w:p>
  </w:endnote>
  <w:endnote w:type="continuationSeparator" w:id="0">
    <w:p w14:paraId="2061E97E" w14:textId="77777777" w:rsidR="00F00B46" w:rsidRDefault="00F00B46" w:rsidP="00930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2AC8C" w14:textId="0E86899C" w:rsidR="00672AB7" w:rsidRDefault="00672AB7">
    <w:pPr>
      <w:pStyle w:val="Footer"/>
      <w:jc w:val="right"/>
    </w:pPr>
    <w:r>
      <w:t xml:space="preserve">Page: </w:t>
    </w:r>
    <w:sdt>
      <w:sdtPr>
        <w:id w:val="2558705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1</w:t>
        </w:r>
        <w:r w:rsidR="00B26FDD">
          <w:rPr>
            <w:noProof/>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753C" w14:textId="77777777" w:rsidR="00F00B46" w:rsidRDefault="00F00B46" w:rsidP="009306DD">
      <w:pPr>
        <w:spacing w:after="0" w:line="240" w:lineRule="auto"/>
      </w:pPr>
      <w:r>
        <w:separator/>
      </w:r>
    </w:p>
  </w:footnote>
  <w:footnote w:type="continuationSeparator" w:id="0">
    <w:p w14:paraId="7B1D5D38" w14:textId="77777777" w:rsidR="00F00B46" w:rsidRDefault="00F00B46" w:rsidP="00930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8F97D" w14:textId="102A89C8" w:rsidR="00672AB7" w:rsidRDefault="00672AB7" w:rsidP="003541B9">
    <w:pPr>
      <w:pStyle w:val="Header"/>
      <w:tabs>
        <w:tab w:val="clear" w:pos="90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047"/>
    <w:multiLevelType w:val="hybridMultilevel"/>
    <w:tmpl w:val="66FAF11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 w15:restartNumberingAfterBreak="0">
    <w:nsid w:val="05EA1656"/>
    <w:multiLevelType w:val="hybridMultilevel"/>
    <w:tmpl w:val="1D6E60E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716F8"/>
    <w:multiLevelType w:val="hybridMultilevel"/>
    <w:tmpl w:val="D11E0DD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69C1"/>
    <w:multiLevelType w:val="hybridMultilevel"/>
    <w:tmpl w:val="2B723C94"/>
    <w:lvl w:ilvl="0" w:tplc="765E6766">
      <w:start w:val="1"/>
      <w:numFmt w:val="upperRoman"/>
      <w:lvlText w:val="%1."/>
      <w:lvlJc w:val="right"/>
      <w:pPr>
        <w:ind w:left="720" w:hanging="360"/>
      </w:pPr>
      <w:rPr>
        <w:rFonts w:asciiTheme="minorHAnsi" w:hAnsiTheme="minorHAnsi" w:cstheme="minorHAns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54066"/>
    <w:multiLevelType w:val="hybridMultilevel"/>
    <w:tmpl w:val="B0BEDB1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05B5"/>
    <w:multiLevelType w:val="hybridMultilevel"/>
    <w:tmpl w:val="5A664D3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3525B"/>
    <w:multiLevelType w:val="hybridMultilevel"/>
    <w:tmpl w:val="36BA029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1F07"/>
    <w:multiLevelType w:val="hybridMultilevel"/>
    <w:tmpl w:val="2054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E3CC2"/>
    <w:multiLevelType w:val="hybridMultilevel"/>
    <w:tmpl w:val="E3DE7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37D15"/>
    <w:multiLevelType w:val="hybridMultilevel"/>
    <w:tmpl w:val="BCA6D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15F50"/>
    <w:multiLevelType w:val="hybridMultilevel"/>
    <w:tmpl w:val="D89C6540"/>
    <w:lvl w:ilvl="0" w:tplc="B9022172">
      <w:start w:val="1"/>
      <w:numFmt w:val="upperRoman"/>
      <w:lvlText w:val="%1."/>
      <w:lvlJc w:val="right"/>
      <w:pPr>
        <w:ind w:left="720" w:hanging="360"/>
      </w:pPr>
      <w:rPr>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CE11904"/>
    <w:multiLevelType w:val="hybridMultilevel"/>
    <w:tmpl w:val="B8AE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12DA6"/>
    <w:multiLevelType w:val="hybridMultilevel"/>
    <w:tmpl w:val="9E547F0C"/>
    <w:lvl w:ilvl="0" w:tplc="63BCBD1A">
      <w:start w:val="1"/>
      <w:numFmt w:val="upperRoman"/>
      <w:lvlText w:val="%1."/>
      <w:lvlJc w:val="right"/>
      <w:pPr>
        <w:ind w:left="720" w:hanging="360"/>
      </w:pPr>
      <w:rPr>
        <w:rFonts w:asciiTheme="minorHAnsi" w:hAnsiTheme="minorHAnsi" w:cstheme="minorHAnsi"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53624"/>
    <w:multiLevelType w:val="hybridMultilevel"/>
    <w:tmpl w:val="BA8AC946"/>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34708FC"/>
    <w:multiLevelType w:val="hybridMultilevel"/>
    <w:tmpl w:val="D48C851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74BDE"/>
    <w:multiLevelType w:val="hybridMultilevel"/>
    <w:tmpl w:val="A62A2FFC"/>
    <w:lvl w:ilvl="0" w:tplc="56D48C46">
      <w:start w:val="1"/>
      <w:numFmt w:val="bullet"/>
      <w:lvlText w:val="•"/>
      <w:lvlJc w:val="left"/>
      <w:pPr>
        <w:tabs>
          <w:tab w:val="num" w:pos="720"/>
        </w:tabs>
        <w:ind w:left="720" w:hanging="360"/>
      </w:pPr>
      <w:rPr>
        <w:rFonts w:ascii="Arial" w:hAnsi="Arial" w:cs="Times New Roman" w:hint="default"/>
      </w:rPr>
    </w:lvl>
    <w:lvl w:ilvl="1" w:tplc="F29C11C0">
      <w:start w:val="1"/>
      <w:numFmt w:val="bullet"/>
      <w:lvlText w:val="•"/>
      <w:lvlJc w:val="left"/>
      <w:pPr>
        <w:tabs>
          <w:tab w:val="num" w:pos="1440"/>
        </w:tabs>
        <w:ind w:left="1440" w:hanging="360"/>
      </w:pPr>
      <w:rPr>
        <w:rFonts w:ascii="Arial" w:hAnsi="Arial" w:cs="Times New Roman" w:hint="default"/>
      </w:rPr>
    </w:lvl>
    <w:lvl w:ilvl="2" w:tplc="6E32D13E">
      <w:start w:val="1"/>
      <w:numFmt w:val="bullet"/>
      <w:lvlText w:val="•"/>
      <w:lvlJc w:val="left"/>
      <w:pPr>
        <w:tabs>
          <w:tab w:val="num" w:pos="2160"/>
        </w:tabs>
        <w:ind w:left="2160" w:hanging="360"/>
      </w:pPr>
      <w:rPr>
        <w:rFonts w:ascii="Arial" w:hAnsi="Arial" w:cs="Times New Roman" w:hint="default"/>
      </w:rPr>
    </w:lvl>
    <w:lvl w:ilvl="3" w:tplc="BE4AD40E">
      <w:start w:val="1"/>
      <w:numFmt w:val="bullet"/>
      <w:lvlText w:val="•"/>
      <w:lvlJc w:val="left"/>
      <w:pPr>
        <w:tabs>
          <w:tab w:val="num" w:pos="2880"/>
        </w:tabs>
        <w:ind w:left="2880" w:hanging="360"/>
      </w:pPr>
      <w:rPr>
        <w:rFonts w:ascii="Arial" w:hAnsi="Arial" w:cs="Times New Roman" w:hint="default"/>
      </w:rPr>
    </w:lvl>
    <w:lvl w:ilvl="4" w:tplc="DDDCBFE0">
      <w:start w:val="1"/>
      <w:numFmt w:val="bullet"/>
      <w:lvlText w:val="•"/>
      <w:lvlJc w:val="left"/>
      <w:pPr>
        <w:tabs>
          <w:tab w:val="num" w:pos="3600"/>
        </w:tabs>
        <w:ind w:left="3600" w:hanging="360"/>
      </w:pPr>
      <w:rPr>
        <w:rFonts w:ascii="Arial" w:hAnsi="Arial" w:cs="Times New Roman" w:hint="default"/>
      </w:rPr>
    </w:lvl>
    <w:lvl w:ilvl="5" w:tplc="8EC0D132">
      <w:start w:val="1"/>
      <w:numFmt w:val="bullet"/>
      <w:lvlText w:val="•"/>
      <w:lvlJc w:val="left"/>
      <w:pPr>
        <w:tabs>
          <w:tab w:val="num" w:pos="4320"/>
        </w:tabs>
        <w:ind w:left="4320" w:hanging="360"/>
      </w:pPr>
      <w:rPr>
        <w:rFonts w:ascii="Arial" w:hAnsi="Arial" w:cs="Times New Roman" w:hint="default"/>
      </w:rPr>
    </w:lvl>
    <w:lvl w:ilvl="6" w:tplc="17405F1A">
      <w:start w:val="1"/>
      <w:numFmt w:val="bullet"/>
      <w:lvlText w:val="•"/>
      <w:lvlJc w:val="left"/>
      <w:pPr>
        <w:tabs>
          <w:tab w:val="num" w:pos="5040"/>
        </w:tabs>
        <w:ind w:left="5040" w:hanging="360"/>
      </w:pPr>
      <w:rPr>
        <w:rFonts w:ascii="Arial" w:hAnsi="Arial" w:cs="Times New Roman" w:hint="default"/>
      </w:rPr>
    </w:lvl>
    <w:lvl w:ilvl="7" w:tplc="D0668938">
      <w:start w:val="1"/>
      <w:numFmt w:val="bullet"/>
      <w:lvlText w:val="•"/>
      <w:lvlJc w:val="left"/>
      <w:pPr>
        <w:tabs>
          <w:tab w:val="num" w:pos="5760"/>
        </w:tabs>
        <w:ind w:left="5760" w:hanging="360"/>
      </w:pPr>
      <w:rPr>
        <w:rFonts w:ascii="Arial" w:hAnsi="Arial" w:cs="Times New Roman" w:hint="default"/>
      </w:rPr>
    </w:lvl>
    <w:lvl w:ilvl="8" w:tplc="C278FCF6">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25C815CA"/>
    <w:multiLevelType w:val="hybridMultilevel"/>
    <w:tmpl w:val="360A7D0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75051"/>
    <w:multiLevelType w:val="hybridMultilevel"/>
    <w:tmpl w:val="D48C851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5A5D0D"/>
    <w:multiLevelType w:val="hybridMultilevel"/>
    <w:tmpl w:val="D48C851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BF46D8"/>
    <w:multiLevelType w:val="hybridMultilevel"/>
    <w:tmpl w:val="36B4027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00663"/>
    <w:multiLevelType w:val="hybridMultilevel"/>
    <w:tmpl w:val="7FC2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D72798"/>
    <w:multiLevelType w:val="hybridMultilevel"/>
    <w:tmpl w:val="360A7D0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9401C"/>
    <w:multiLevelType w:val="hybridMultilevel"/>
    <w:tmpl w:val="F3CEA7A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0E7D6F"/>
    <w:multiLevelType w:val="hybridMultilevel"/>
    <w:tmpl w:val="9B8489C4"/>
    <w:lvl w:ilvl="0" w:tplc="48090013">
      <w:start w:val="1"/>
      <w:numFmt w:val="upp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58D106C"/>
    <w:multiLevelType w:val="hybridMultilevel"/>
    <w:tmpl w:val="4C6E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03FE3"/>
    <w:multiLevelType w:val="hybridMultilevel"/>
    <w:tmpl w:val="E90C2920"/>
    <w:lvl w:ilvl="0" w:tplc="3CE8E952">
      <w:start w:val="1"/>
      <w:numFmt w:val="upperRoman"/>
      <w:lvlText w:val="%1."/>
      <w:lvlJc w:val="right"/>
      <w:pPr>
        <w:ind w:left="720" w:hanging="360"/>
      </w:pPr>
      <w:rPr>
        <w:rFonts w:asciiTheme="minorHAnsi" w:hAnsiTheme="minorHAnsi" w:cstheme="minorHAns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7FA2"/>
    <w:multiLevelType w:val="hybridMultilevel"/>
    <w:tmpl w:val="36BA029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4B0F4F"/>
    <w:multiLevelType w:val="hybridMultilevel"/>
    <w:tmpl w:val="4CD02A7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8755D9"/>
    <w:multiLevelType w:val="hybridMultilevel"/>
    <w:tmpl w:val="4A62174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1C4BA2"/>
    <w:multiLevelType w:val="hybridMultilevel"/>
    <w:tmpl w:val="C9B6F914"/>
    <w:lvl w:ilvl="0" w:tplc="BF6AD242">
      <w:start w:val="3"/>
      <w:numFmt w:val="bullet"/>
      <w:lvlText w:val="•"/>
      <w:lvlJc w:val="left"/>
      <w:pPr>
        <w:ind w:left="720" w:hanging="360"/>
      </w:pPr>
      <w:rPr>
        <w:rFonts w:ascii="Arial" w:eastAsiaTheme="minorHAns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4B2E7AB2"/>
    <w:multiLevelType w:val="hybridMultilevel"/>
    <w:tmpl w:val="B690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63D97"/>
    <w:multiLevelType w:val="hybridMultilevel"/>
    <w:tmpl w:val="F3CEA7A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A4063D"/>
    <w:multiLevelType w:val="hybridMultilevel"/>
    <w:tmpl w:val="2E2259B0"/>
    <w:lvl w:ilvl="0" w:tplc="4BB6D478">
      <w:start w:val="1"/>
      <w:numFmt w:val="upperRoman"/>
      <w:lvlText w:val="%1."/>
      <w:lvlJc w:val="right"/>
      <w:pPr>
        <w:ind w:left="720" w:hanging="360"/>
      </w:pPr>
      <w:rPr>
        <w:rFonts w:asciiTheme="minorHAnsi" w:hAnsiTheme="minorHAnsi" w:cstheme="minorHAnsi" w:hint="default"/>
        <w:i w:val="0"/>
        <w:iCs/>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6C7489"/>
    <w:multiLevelType w:val="hybridMultilevel"/>
    <w:tmpl w:val="36BA029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A4F56"/>
    <w:multiLevelType w:val="hybridMultilevel"/>
    <w:tmpl w:val="A268FFB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227D0"/>
    <w:multiLevelType w:val="hybridMultilevel"/>
    <w:tmpl w:val="3076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571A08"/>
    <w:multiLevelType w:val="hybridMultilevel"/>
    <w:tmpl w:val="BC5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571D3F"/>
    <w:multiLevelType w:val="hybridMultilevel"/>
    <w:tmpl w:val="F3CEA7A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816684"/>
    <w:multiLevelType w:val="hybridMultilevel"/>
    <w:tmpl w:val="12C8E084"/>
    <w:lvl w:ilvl="0" w:tplc="AAF89884">
      <w:start w:val="1"/>
      <w:numFmt w:val="upperRoman"/>
      <w:lvlText w:val="%1."/>
      <w:lvlJc w:val="right"/>
      <w:pPr>
        <w:ind w:left="720" w:hanging="360"/>
      </w:pPr>
      <w:rPr>
        <w:rFonts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85094C"/>
    <w:multiLevelType w:val="hybridMultilevel"/>
    <w:tmpl w:val="D5DAA2E0"/>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7E60DD"/>
    <w:multiLevelType w:val="hybridMultilevel"/>
    <w:tmpl w:val="360A7D0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CC5038"/>
    <w:multiLevelType w:val="hybridMultilevel"/>
    <w:tmpl w:val="6E2E4D7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D64B9B"/>
    <w:multiLevelType w:val="hybridMultilevel"/>
    <w:tmpl w:val="3FDC535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371E1B"/>
    <w:multiLevelType w:val="hybridMultilevel"/>
    <w:tmpl w:val="36B4027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0C1D71"/>
    <w:multiLevelType w:val="hybridMultilevel"/>
    <w:tmpl w:val="4CD02A7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3D3CB3"/>
    <w:multiLevelType w:val="hybridMultilevel"/>
    <w:tmpl w:val="B7AA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653AD6"/>
    <w:multiLevelType w:val="hybridMultilevel"/>
    <w:tmpl w:val="B9068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605E44"/>
    <w:multiLevelType w:val="hybridMultilevel"/>
    <w:tmpl w:val="36BA029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A47990"/>
    <w:multiLevelType w:val="hybridMultilevel"/>
    <w:tmpl w:val="BFC8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52610A"/>
    <w:multiLevelType w:val="hybridMultilevel"/>
    <w:tmpl w:val="1E201946"/>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7E6F39"/>
    <w:multiLevelType w:val="hybridMultilevel"/>
    <w:tmpl w:val="1D6E60E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276435"/>
    <w:multiLevelType w:val="hybridMultilevel"/>
    <w:tmpl w:val="3F5E5F6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405A92"/>
    <w:multiLevelType w:val="hybridMultilevel"/>
    <w:tmpl w:val="CB10B10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D5747F"/>
    <w:multiLevelType w:val="hybridMultilevel"/>
    <w:tmpl w:val="D48C851E"/>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2B0E08"/>
    <w:multiLevelType w:val="hybridMultilevel"/>
    <w:tmpl w:val="1AE8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45"/>
  </w:num>
  <w:num w:numId="4">
    <w:abstractNumId w:val="7"/>
  </w:num>
  <w:num w:numId="5">
    <w:abstractNumId w:val="35"/>
  </w:num>
  <w:num w:numId="6">
    <w:abstractNumId w:val="24"/>
  </w:num>
  <w:num w:numId="7">
    <w:abstractNumId w:val="11"/>
  </w:num>
  <w:num w:numId="8">
    <w:abstractNumId w:val="20"/>
  </w:num>
  <w:num w:numId="9">
    <w:abstractNumId w:val="9"/>
  </w:num>
  <w:num w:numId="10">
    <w:abstractNumId w:val="46"/>
  </w:num>
  <w:num w:numId="11">
    <w:abstractNumId w:val="54"/>
  </w:num>
  <w:num w:numId="12">
    <w:abstractNumId w:val="30"/>
  </w:num>
  <w:num w:numId="13">
    <w:abstractNumId w:val="48"/>
  </w:num>
  <w:num w:numId="14">
    <w:abstractNumId w:val="36"/>
  </w:num>
  <w:num w:numId="15">
    <w:abstractNumId w:val="21"/>
  </w:num>
  <w:num w:numId="16">
    <w:abstractNumId w:val="17"/>
  </w:num>
  <w:num w:numId="17">
    <w:abstractNumId w:val="47"/>
  </w:num>
  <w:num w:numId="18">
    <w:abstractNumId w:val="38"/>
  </w:num>
  <w:num w:numId="19">
    <w:abstractNumId w:val="12"/>
  </w:num>
  <w:num w:numId="20">
    <w:abstractNumId w:val="41"/>
  </w:num>
  <w:num w:numId="21">
    <w:abstractNumId w:val="19"/>
  </w:num>
  <w:num w:numId="22">
    <w:abstractNumId w:val="51"/>
  </w:num>
  <w:num w:numId="23">
    <w:abstractNumId w:val="49"/>
  </w:num>
  <w:num w:numId="24">
    <w:abstractNumId w:val="1"/>
  </w:num>
  <w:num w:numId="25">
    <w:abstractNumId w:val="2"/>
  </w:num>
  <w:num w:numId="26">
    <w:abstractNumId w:val="28"/>
  </w:num>
  <w:num w:numId="27">
    <w:abstractNumId w:val="4"/>
  </w:num>
  <w:num w:numId="28">
    <w:abstractNumId w:val="44"/>
  </w:num>
  <w:num w:numId="29">
    <w:abstractNumId w:val="5"/>
  </w:num>
  <w:num w:numId="30">
    <w:abstractNumId w:val="34"/>
  </w:num>
  <w:num w:numId="31">
    <w:abstractNumId w:val="31"/>
  </w:num>
  <w:num w:numId="32">
    <w:abstractNumId w:val="37"/>
  </w:num>
  <w:num w:numId="33">
    <w:abstractNumId w:val="22"/>
  </w:num>
  <w:num w:numId="34">
    <w:abstractNumId w:val="40"/>
  </w:num>
  <w:num w:numId="35">
    <w:abstractNumId w:val="33"/>
  </w:num>
  <w:num w:numId="36">
    <w:abstractNumId w:val="16"/>
  </w:num>
  <w:num w:numId="37">
    <w:abstractNumId w:val="50"/>
  </w:num>
  <w:num w:numId="38">
    <w:abstractNumId w:val="6"/>
  </w:num>
  <w:num w:numId="39">
    <w:abstractNumId w:val="27"/>
  </w:num>
  <w:num w:numId="40">
    <w:abstractNumId w:val="42"/>
  </w:num>
  <w:num w:numId="41">
    <w:abstractNumId w:val="14"/>
  </w:num>
  <w:num w:numId="42">
    <w:abstractNumId w:val="18"/>
  </w:num>
  <w:num w:numId="43">
    <w:abstractNumId w:val="53"/>
  </w:num>
  <w:num w:numId="44">
    <w:abstractNumId w:val="3"/>
  </w:num>
  <w:num w:numId="45">
    <w:abstractNumId w:val="52"/>
  </w:num>
  <w:num w:numId="46">
    <w:abstractNumId w:val="43"/>
  </w:num>
  <w:num w:numId="47">
    <w:abstractNumId w:val="23"/>
  </w:num>
  <w:num w:numId="48">
    <w:abstractNumId w:val="29"/>
  </w:num>
  <w:num w:numId="49">
    <w:abstractNumId w:val="13"/>
  </w:num>
  <w:num w:numId="50">
    <w:abstractNumId w:val="15"/>
  </w:num>
  <w:num w:numId="51">
    <w:abstractNumId w:val="39"/>
  </w:num>
  <w:num w:numId="52">
    <w:abstractNumId w:val="10"/>
  </w:num>
  <w:num w:numId="53">
    <w:abstractNumId w:val="0"/>
  </w:num>
  <w:num w:numId="54">
    <w:abstractNumId w:val="25"/>
  </w:num>
  <w:num w:numId="55">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5F"/>
    <w:rsid w:val="00001507"/>
    <w:rsid w:val="00004451"/>
    <w:rsid w:val="000058B1"/>
    <w:rsid w:val="000334B1"/>
    <w:rsid w:val="00033978"/>
    <w:rsid w:val="000434F5"/>
    <w:rsid w:val="00062FCE"/>
    <w:rsid w:val="00064E86"/>
    <w:rsid w:val="00070356"/>
    <w:rsid w:val="000727D5"/>
    <w:rsid w:val="00072C8F"/>
    <w:rsid w:val="00080127"/>
    <w:rsid w:val="00085309"/>
    <w:rsid w:val="00094556"/>
    <w:rsid w:val="000A2E0E"/>
    <w:rsid w:val="000A4E1C"/>
    <w:rsid w:val="000B0B90"/>
    <w:rsid w:val="000B6422"/>
    <w:rsid w:val="000C2CDB"/>
    <w:rsid w:val="000C7567"/>
    <w:rsid w:val="000D4884"/>
    <w:rsid w:val="000D5CAC"/>
    <w:rsid w:val="000E3ECE"/>
    <w:rsid w:val="000E439D"/>
    <w:rsid w:val="000E4990"/>
    <w:rsid w:val="000E6B2A"/>
    <w:rsid w:val="000F1331"/>
    <w:rsid w:val="000F5FD7"/>
    <w:rsid w:val="00101AD8"/>
    <w:rsid w:val="00112FA1"/>
    <w:rsid w:val="001219C2"/>
    <w:rsid w:val="00127468"/>
    <w:rsid w:val="00137101"/>
    <w:rsid w:val="0014360E"/>
    <w:rsid w:val="0014424A"/>
    <w:rsid w:val="001530DC"/>
    <w:rsid w:val="001557D5"/>
    <w:rsid w:val="00155E43"/>
    <w:rsid w:val="001566DB"/>
    <w:rsid w:val="00157C84"/>
    <w:rsid w:val="00163C8C"/>
    <w:rsid w:val="001704D6"/>
    <w:rsid w:val="00170824"/>
    <w:rsid w:val="00171558"/>
    <w:rsid w:val="0017295E"/>
    <w:rsid w:val="00176E16"/>
    <w:rsid w:val="00184481"/>
    <w:rsid w:val="00192870"/>
    <w:rsid w:val="001B589A"/>
    <w:rsid w:val="001B65BA"/>
    <w:rsid w:val="001B71C4"/>
    <w:rsid w:val="001C2687"/>
    <w:rsid w:val="001C6250"/>
    <w:rsid w:val="001D03D5"/>
    <w:rsid w:val="001D14D9"/>
    <w:rsid w:val="001D33E2"/>
    <w:rsid w:val="001E2EDD"/>
    <w:rsid w:val="001E371A"/>
    <w:rsid w:val="001E5746"/>
    <w:rsid w:val="001F4117"/>
    <w:rsid w:val="001F4D6C"/>
    <w:rsid w:val="002159CC"/>
    <w:rsid w:val="00215CC2"/>
    <w:rsid w:val="00217F20"/>
    <w:rsid w:val="00220FF3"/>
    <w:rsid w:val="00223C65"/>
    <w:rsid w:val="0025464C"/>
    <w:rsid w:val="0026486E"/>
    <w:rsid w:val="00265357"/>
    <w:rsid w:val="002663B7"/>
    <w:rsid w:val="00270EC9"/>
    <w:rsid w:val="0027469F"/>
    <w:rsid w:val="00276F60"/>
    <w:rsid w:val="00285378"/>
    <w:rsid w:val="002B0EA7"/>
    <w:rsid w:val="002B1E94"/>
    <w:rsid w:val="002B1F7A"/>
    <w:rsid w:val="002B244D"/>
    <w:rsid w:val="002B5F73"/>
    <w:rsid w:val="002D0FB8"/>
    <w:rsid w:val="002D13C2"/>
    <w:rsid w:val="002F1166"/>
    <w:rsid w:val="002F13BD"/>
    <w:rsid w:val="002F3874"/>
    <w:rsid w:val="00303E3B"/>
    <w:rsid w:val="0030524A"/>
    <w:rsid w:val="00306EC3"/>
    <w:rsid w:val="00314606"/>
    <w:rsid w:val="003164B6"/>
    <w:rsid w:val="00321858"/>
    <w:rsid w:val="00325507"/>
    <w:rsid w:val="003313B8"/>
    <w:rsid w:val="00332721"/>
    <w:rsid w:val="00333F55"/>
    <w:rsid w:val="00340B47"/>
    <w:rsid w:val="00341AC5"/>
    <w:rsid w:val="003468B7"/>
    <w:rsid w:val="003503F9"/>
    <w:rsid w:val="00353059"/>
    <w:rsid w:val="003541B9"/>
    <w:rsid w:val="00363B83"/>
    <w:rsid w:val="003647E0"/>
    <w:rsid w:val="00371425"/>
    <w:rsid w:val="00372765"/>
    <w:rsid w:val="003921A3"/>
    <w:rsid w:val="00394A0B"/>
    <w:rsid w:val="003A2529"/>
    <w:rsid w:val="003A6869"/>
    <w:rsid w:val="003B1564"/>
    <w:rsid w:val="003B1F6D"/>
    <w:rsid w:val="003B206F"/>
    <w:rsid w:val="003B35D0"/>
    <w:rsid w:val="003B5DB7"/>
    <w:rsid w:val="003B73FF"/>
    <w:rsid w:val="003C2E33"/>
    <w:rsid w:val="003D70EC"/>
    <w:rsid w:val="003E2525"/>
    <w:rsid w:val="003E5C5F"/>
    <w:rsid w:val="003F3B19"/>
    <w:rsid w:val="003F3BDF"/>
    <w:rsid w:val="00401B62"/>
    <w:rsid w:val="00402BF0"/>
    <w:rsid w:val="00411CC0"/>
    <w:rsid w:val="00411D1A"/>
    <w:rsid w:val="00412205"/>
    <w:rsid w:val="004125D3"/>
    <w:rsid w:val="00413974"/>
    <w:rsid w:val="00421CDD"/>
    <w:rsid w:val="00422D49"/>
    <w:rsid w:val="0042420A"/>
    <w:rsid w:val="004355A9"/>
    <w:rsid w:val="00435700"/>
    <w:rsid w:val="00435826"/>
    <w:rsid w:val="00444C45"/>
    <w:rsid w:val="00446B04"/>
    <w:rsid w:val="00453F93"/>
    <w:rsid w:val="004552E9"/>
    <w:rsid w:val="00465582"/>
    <w:rsid w:val="0046669A"/>
    <w:rsid w:val="00471494"/>
    <w:rsid w:val="0047327B"/>
    <w:rsid w:val="00473F4A"/>
    <w:rsid w:val="00483569"/>
    <w:rsid w:val="00487DE5"/>
    <w:rsid w:val="004908CB"/>
    <w:rsid w:val="00496BB2"/>
    <w:rsid w:val="004A2292"/>
    <w:rsid w:val="004A2897"/>
    <w:rsid w:val="004A44EE"/>
    <w:rsid w:val="004A6FDD"/>
    <w:rsid w:val="004B1973"/>
    <w:rsid w:val="004C7550"/>
    <w:rsid w:val="004D25A4"/>
    <w:rsid w:val="004E0128"/>
    <w:rsid w:val="004E0219"/>
    <w:rsid w:val="004E16E1"/>
    <w:rsid w:val="004E29F2"/>
    <w:rsid w:val="004E727F"/>
    <w:rsid w:val="004F2544"/>
    <w:rsid w:val="0050497E"/>
    <w:rsid w:val="00507D5C"/>
    <w:rsid w:val="00507E2D"/>
    <w:rsid w:val="00511CBD"/>
    <w:rsid w:val="00523DA2"/>
    <w:rsid w:val="005305EB"/>
    <w:rsid w:val="00533427"/>
    <w:rsid w:val="005422B7"/>
    <w:rsid w:val="00542D90"/>
    <w:rsid w:val="00546F5B"/>
    <w:rsid w:val="005512C3"/>
    <w:rsid w:val="00557B5F"/>
    <w:rsid w:val="00564CD6"/>
    <w:rsid w:val="00573034"/>
    <w:rsid w:val="00587942"/>
    <w:rsid w:val="00592037"/>
    <w:rsid w:val="005A3B5C"/>
    <w:rsid w:val="005B0895"/>
    <w:rsid w:val="005B2301"/>
    <w:rsid w:val="005B266E"/>
    <w:rsid w:val="005B36C1"/>
    <w:rsid w:val="005B438E"/>
    <w:rsid w:val="005B61D3"/>
    <w:rsid w:val="005B6EF2"/>
    <w:rsid w:val="005C080D"/>
    <w:rsid w:val="005C4C21"/>
    <w:rsid w:val="005D03F7"/>
    <w:rsid w:val="005D12C3"/>
    <w:rsid w:val="005D4443"/>
    <w:rsid w:val="005E2EFE"/>
    <w:rsid w:val="005E471E"/>
    <w:rsid w:val="005F1F7C"/>
    <w:rsid w:val="005F4673"/>
    <w:rsid w:val="00601829"/>
    <w:rsid w:val="00604D12"/>
    <w:rsid w:val="006101AF"/>
    <w:rsid w:val="00617F24"/>
    <w:rsid w:val="00624071"/>
    <w:rsid w:val="00637747"/>
    <w:rsid w:val="0064016D"/>
    <w:rsid w:val="00645910"/>
    <w:rsid w:val="006477C6"/>
    <w:rsid w:val="006532B2"/>
    <w:rsid w:val="00672811"/>
    <w:rsid w:val="00672AB7"/>
    <w:rsid w:val="006749B2"/>
    <w:rsid w:val="00681457"/>
    <w:rsid w:val="00687954"/>
    <w:rsid w:val="00687BA6"/>
    <w:rsid w:val="006940CD"/>
    <w:rsid w:val="006A2DE8"/>
    <w:rsid w:val="006B4A7F"/>
    <w:rsid w:val="006D52AD"/>
    <w:rsid w:val="006D77CE"/>
    <w:rsid w:val="006D7F0E"/>
    <w:rsid w:val="006E1994"/>
    <w:rsid w:val="006E310D"/>
    <w:rsid w:val="006E6C0D"/>
    <w:rsid w:val="00702C40"/>
    <w:rsid w:val="007070D8"/>
    <w:rsid w:val="0070756C"/>
    <w:rsid w:val="00716D49"/>
    <w:rsid w:val="0072534D"/>
    <w:rsid w:val="00727F44"/>
    <w:rsid w:val="0073794D"/>
    <w:rsid w:val="0074093F"/>
    <w:rsid w:val="00741E85"/>
    <w:rsid w:val="00750E84"/>
    <w:rsid w:val="00751F52"/>
    <w:rsid w:val="0075778C"/>
    <w:rsid w:val="007606EE"/>
    <w:rsid w:val="00762E99"/>
    <w:rsid w:val="00771A63"/>
    <w:rsid w:val="00772CCE"/>
    <w:rsid w:val="00792D3F"/>
    <w:rsid w:val="00793A3E"/>
    <w:rsid w:val="00795113"/>
    <w:rsid w:val="007A23C3"/>
    <w:rsid w:val="007A343E"/>
    <w:rsid w:val="007A69CF"/>
    <w:rsid w:val="007A71C0"/>
    <w:rsid w:val="007B4B6A"/>
    <w:rsid w:val="007B5C45"/>
    <w:rsid w:val="007C10A3"/>
    <w:rsid w:val="007C7426"/>
    <w:rsid w:val="007D0233"/>
    <w:rsid w:val="007D142A"/>
    <w:rsid w:val="007E0A41"/>
    <w:rsid w:val="008147D5"/>
    <w:rsid w:val="0081582C"/>
    <w:rsid w:val="0082658A"/>
    <w:rsid w:val="008270F9"/>
    <w:rsid w:val="008303DE"/>
    <w:rsid w:val="00843069"/>
    <w:rsid w:val="00855420"/>
    <w:rsid w:val="008603E0"/>
    <w:rsid w:val="008610F6"/>
    <w:rsid w:val="00862744"/>
    <w:rsid w:val="008664BC"/>
    <w:rsid w:val="0086650B"/>
    <w:rsid w:val="00870750"/>
    <w:rsid w:val="00870EFA"/>
    <w:rsid w:val="00871C47"/>
    <w:rsid w:val="00874D9A"/>
    <w:rsid w:val="0087765A"/>
    <w:rsid w:val="00881538"/>
    <w:rsid w:val="00887C1C"/>
    <w:rsid w:val="00891478"/>
    <w:rsid w:val="008A4C89"/>
    <w:rsid w:val="008B1B3F"/>
    <w:rsid w:val="008B6251"/>
    <w:rsid w:val="008C45EE"/>
    <w:rsid w:val="008C67B3"/>
    <w:rsid w:val="008D033D"/>
    <w:rsid w:val="008D14CD"/>
    <w:rsid w:val="008D6A80"/>
    <w:rsid w:val="008E2CFA"/>
    <w:rsid w:val="0090140A"/>
    <w:rsid w:val="00903AD9"/>
    <w:rsid w:val="00911110"/>
    <w:rsid w:val="00913F77"/>
    <w:rsid w:val="00916435"/>
    <w:rsid w:val="009306DD"/>
    <w:rsid w:val="00934796"/>
    <w:rsid w:val="00936FCF"/>
    <w:rsid w:val="00940674"/>
    <w:rsid w:val="00942E2F"/>
    <w:rsid w:val="009435D1"/>
    <w:rsid w:val="00943B64"/>
    <w:rsid w:val="009445BB"/>
    <w:rsid w:val="00952743"/>
    <w:rsid w:val="00962DEB"/>
    <w:rsid w:val="009633B7"/>
    <w:rsid w:val="00963CA8"/>
    <w:rsid w:val="00965378"/>
    <w:rsid w:val="00965B5D"/>
    <w:rsid w:val="00973152"/>
    <w:rsid w:val="00991D74"/>
    <w:rsid w:val="00993ADD"/>
    <w:rsid w:val="009968B3"/>
    <w:rsid w:val="009A23E5"/>
    <w:rsid w:val="009A42F2"/>
    <w:rsid w:val="009B0A1C"/>
    <w:rsid w:val="009B7F2F"/>
    <w:rsid w:val="009C6B47"/>
    <w:rsid w:val="009D1194"/>
    <w:rsid w:val="009D125B"/>
    <w:rsid w:val="009D240B"/>
    <w:rsid w:val="009D421E"/>
    <w:rsid w:val="009D72C3"/>
    <w:rsid w:val="009E3144"/>
    <w:rsid w:val="009E72A0"/>
    <w:rsid w:val="009F0743"/>
    <w:rsid w:val="009F631D"/>
    <w:rsid w:val="00A050A0"/>
    <w:rsid w:val="00A10942"/>
    <w:rsid w:val="00A21000"/>
    <w:rsid w:val="00A23E88"/>
    <w:rsid w:val="00A253EF"/>
    <w:rsid w:val="00A27928"/>
    <w:rsid w:val="00A41A05"/>
    <w:rsid w:val="00A453F8"/>
    <w:rsid w:val="00A45A0D"/>
    <w:rsid w:val="00A46474"/>
    <w:rsid w:val="00A53558"/>
    <w:rsid w:val="00A540A0"/>
    <w:rsid w:val="00A544EC"/>
    <w:rsid w:val="00A678FF"/>
    <w:rsid w:val="00A76378"/>
    <w:rsid w:val="00A80BBF"/>
    <w:rsid w:val="00A82E74"/>
    <w:rsid w:val="00A853F5"/>
    <w:rsid w:val="00A900CE"/>
    <w:rsid w:val="00A9323F"/>
    <w:rsid w:val="00AA2B0B"/>
    <w:rsid w:val="00AC15B6"/>
    <w:rsid w:val="00AC2AEC"/>
    <w:rsid w:val="00AD2DF5"/>
    <w:rsid w:val="00AD672D"/>
    <w:rsid w:val="00AD7455"/>
    <w:rsid w:val="00AE0C6E"/>
    <w:rsid w:val="00AE47BC"/>
    <w:rsid w:val="00AE5B28"/>
    <w:rsid w:val="00AF1E51"/>
    <w:rsid w:val="00AF50C1"/>
    <w:rsid w:val="00AF643C"/>
    <w:rsid w:val="00B02CD9"/>
    <w:rsid w:val="00B035B1"/>
    <w:rsid w:val="00B1129C"/>
    <w:rsid w:val="00B15C4C"/>
    <w:rsid w:val="00B15CF7"/>
    <w:rsid w:val="00B16A9D"/>
    <w:rsid w:val="00B2368F"/>
    <w:rsid w:val="00B26FDD"/>
    <w:rsid w:val="00B33C6A"/>
    <w:rsid w:val="00B37CD6"/>
    <w:rsid w:val="00B5290B"/>
    <w:rsid w:val="00B608A8"/>
    <w:rsid w:val="00B635F7"/>
    <w:rsid w:val="00B74886"/>
    <w:rsid w:val="00B90D9C"/>
    <w:rsid w:val="00B95B4D"/>
    <w:rsid w:val="00B975C9"/>
    <w:rsid w:val="00B97809"/>
    <w:rsid w:val="00B97E0B"/>
    <w:rsid w:val="00BA0999"/>
    <w:rsid w:val="00BA222E"/>
    <w:rsid w:val="00BA7C48"/>
    <w:rsid w:val="00BB08B6"/>
    <w:rsid w:val="00BB6705"/>
    <w:rsid w:val="00BE2575"/>
    <w:rsid w:val="00BE48C6"/>
    <w:rsid w:val="00BE5273"/>
    <w:rsid w:val="00BE6D1F"/>
    <w:rsid w:val="00BF6100"/>
    <w:rsid w:val="00BF7617"/>
    <w:rsid w:val="00C06E66"/>
    <w:rsid w:val="00C07B60"/>
    <w:rsid w:val="00C11410"/>
    <w:rsid w:val="00C16863"/>
    <w:rsid w:val="00C33ADC"/>
    <w:rsid w:val="00C3607C"/>
    <w:rsid w:val="00C40AF6"/>
    <w:rsid w:val="00C41DB2"/>
    <w:rsid w:val="00C42624"/>
    <w:rsid w:val="00C436E9"/>
    <w:rsid w:val="00C448F3"/>
    <w:rsid w:val="00C44B6F"/>
    <w:rsid w:val="00C504F0"/>
    <w:rsid w:val="00C51965"/>
    <w:rsid w:val="00C563EC"/>
    <w:rsid w:val="00C64136"/>
    <w:rsid w:val="00C7352E"/>
    <w:rsid w:val="00C80B05"/>
    <w:rsid w:val="00C85619"/>
    <w:rsid w:val="00C92478"/>
    <w:rsid w:val="00C97C5A"/>
    <w:rsid w:val="00CA2CD1"/>
    <w:rsid w:val="00CA7A9F"/>
    <w:rsid w:val="00CB163D"/>
    <w:rsid w:val="00CB5AFF"/>
    <w:rsid w:val="00CB6A5E"/>
    <w:rsid w:val="00CB702E"/>
    <w:rsid w:val="00CB74A3"/>
    <w:rsid w:val="00CC2041"/>
    <w:rsid w:val="00CE0B2C"/>
    <w:rsid w:val="00CE0DFC"/>
    <w:rsid w:val="00CE7463"/>
    <w:rsid w:val="00CE7D69"/>
    <w:rsid w:val="00CF01F0"/>
    <w:rsid w:val="00CF389B"/>
    <w:rsid w:val="00D048B7"/>
    <w:rsid w:val="00D1778E"/>
    <w:rsid w:val="00D20D86"/>
    <w:rsid w:val="00D26ABD"/>
    <w:rsid w:val="00D322ED"/>
    <w:rsid w:val="00D374F8"/>
    <w:rsid w:val="00D379E7"/>
    <w:rsid w:val="00D413BA"/>
    <w:rsid w:val="00D41E46"/>
    <w:rsid w:val="00D44FAF"/>
    <w:rsid w:val="00D45AC6"/>
    <w:rsid w:val="00D47A24"/>
    <w:rsid w:val="00D50AA2"/>
    <w:rsid w:val="00D50FB5"/>
    <w:rsid w:val="00D51BFF"/>
    <w:rsid w:val="00D531C5"/>
    <w:rsid w:val="00D547DD"/>
    <w:rsid w:val="00D5635A"/>
    <w:rsid w:val="00D61A89"/>
    <w:rsid w:val="00D80170"/>
    <w:rsid w:val="00D83BCA"/>
    <w:rsid w:val="00D84ED9"/>
    <w:rsid w:val="00D85D3E"/>
    <w:rsid w:val="00D93291"/>
    <w:rsid w:val="00DA0FD8"/>
    <w:rsid w:val="00DB2ED1"/>
    <w:rsid w:val="00DB495D"/>
    <w:rsid w:val="00DD2E97"/>
    <w:rsid w:val="00DD3F64"/>
    <w:rsid w:val="00DE06AD"/>
    <w:rsid w:val="00DE3543"/>
    <w:rsid w:val="00DE6368"/>
    <w:rsid w:val="00DE6AEB"/>
    <w:rsid w:val="00DF4345"/>
    <w:rsid w:val="00DF7D38"/>
    <w:rsid w:val="00DF7D5F"/>
    <w:rsid w:val="00E008B6"/>
    <w:rsid w:val="00E145DD"/>
    <w:rsid w:val="00E169D9"/>
    <w:rsid w:val="00E16A8B"/>
    <w:rsid w:val="00E305FC"/>
    <w:rsid w:val="00E4060D"/>
    <w:rsid w:val="00E52C72"/>
    <w:rsid w:val="00E53E18"/>
    <w:rsid w:val="00E55B3C"/>
    <w:rsid w:val="00E622FD"/>
    <w:rsid w:val="00E638E8"/>
    <w:rsid w:val="00E639A2"/>
    <w:rsid w:val="00E63E17"/>
    <w:rsid w:val="00E67608"/>
    <w:rsid w:val="00E77549"/>
    <w:rsid w:val="00E80FC8"/>
    <w:rsid w:val="00E85775"/>
    <w:rsid w:val="00E977C5"/>
    <w:rsid w:val="00EA2D92"/>
    <w:rsid w:val="00EA5F06"/>
    <w:rsid w:val="00EB272A"/>
    <w:rsid w:val="00EB51DC"/>
    <w:rsid w:val="00EB5264"/>
    <w:rsid w:val="00EB6047"/>
    <w:rsid w:val="00EC4A00"/>
    <w:rsid w:val="00EC4CBB"/>
    <w:rsid w:val="00EC7CA1"/>
    <w:rsid w:val="00EF4969"/>
    <w:rsid w:val="00F00B46"/>
    <w:rsid w:val="00F122A3"/>
    <w:rsid w:val="00F1464B"/>
    <w:rsid w:val="00F15390"/>
    <w:rsid w:val="00F22D58"/>
    <w:rsid w:val="00F2728A"/>
    <w:rsid w:val="00F35D64"/>
    <w:rsid w:val="00F431B3"/>
    <w:rsid w:val="00F44EC0"/>
    <w:rsid w:val="00F44F53"/>
    <w:rsid w:val="00F44FAA"/>
    <w:rsid w:val="00F466BE"/>
    <w:rsid w:val="00F70740"/>
    <w:rsid w:val="00F84024"/>
    <w:rsid w:val="00FA7533"/>
    <w:rsid w:val="00FC3E4D"/>
    <w:rsid w:val="00FC635D"/>
    <w:rsid w:val="00FD1C75"/>
    <w:rsid w:val="00FD26CF"/>
    <w:rsid w:val="00FD2BA4"/>
    <w:rsid w:val="00FD44F9"/>
    <w:rsid w:val="00FF0B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7DA6CE"/>
  <w15:docId w15:val="{A9FC8E7C-5DA8-49CB-B088-3DB52614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E88"/>
  </w:style>
  <w:style w:type="paragraph" w:styleId="Heading1">
    <w:name w:val="heading 1"/>
    <w:basedOn w:val="Normal"/>
    <w:next w:val="Normal"/>
    <w:link w:val="Heading1Char"/>
    <w:uiPriority w:val="9"/>
    <w:qFormat/>
    <w:rsid w:val="004355A9"/>
    <w:pPr>
      <w:keepNext/>
      <w:keepLines/>
      <w:spacing w:before="240" w:after="120"/>
      <w:outlineLvl w:val="0"/>
    </w:pPr>
    <w:rPr>
      <w:rFonts w:ascii="Calibri Light" w:eastAsiaTheme="majorEastAsia" w:hAnsi="Calibri Light" w:cstheme="majorBidi"/>
      <w:b/>
      <w:sz w:val="28"/>
      <w:szCs w:val="32"/>
    </w:rPr>
  </w:style>
  <w:style w:type="paragraph" w:styleId="Heading2">
    <w:name w:val="heading 2"/>
    <w:basedOn w:val="Normal"/>
    <w:next w:val="Normal"/>
    <w:link w:val="Heading2Char"/>
    <w:uiPriority w:val="9"/>
    <w:unhideWhenUsed/>
    <w:qFormat/>
    <w:rsid w:val="00C41DB2"/>
    <w:pPr>
      <w:keepNext/>
      <w:keepLines/>
      <w:spacing w:before="160" w:after="120"/>
      <w:outlineLvl w:val="1"/>
    </w:pPr>
    <w:rPr>
      <w:rFonts w:ascii="Calibri" w:eastAsiaTheme="majorEastAsia" w:hAnsi="Calibri" w:cstheme="majorBidi"/>
      <w:color w:val="000000" w:themeColor="tex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D5F"/>
    <w:pPr>
      <w:ind w:left="720"/>
    </w:pPr>
  </w:style>
  <w:style w:type="paragraph" w:customStyle="1" w:styleId="Default">
    <w:name w:val="Default"/>
    <w:rsid w:val="009E314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F3B19"/>
    <w:rPr>
      <w:color w:val="0000FF" w:themeColor="hyperlink"/>
      <w:u w:val="single"/>
    </w:rPr>
  </w:style>
  <w:style w:type="paragraph" w:styleId="Header">
    <w:name w:val="header"/>
    <w:basedOn w:val="Normal"/>
    <w:link w:val="HeaderChar"/>
    <w:uiPriority w:val="99"/>
    <w:unhideWhenUsed/>
    <w:rsid w:val="00930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6DD"/>
  </w:style>
  <w:style w:type="paragraph" w:styleId="Footer">
    <w:name w:val="footer"/>
    <w:basedOn w:val="Normal"/>
    <w:link w:val="FooterChar"/>
    <w:uiPriority w:val="99"/>
    <w:unhideWhenUsed/>
    <w:rsid w:val="00930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6DD"/>
  </w:style>
  <w:style w:type="character" w:styleId="CommentReference">
    <w:name w:val="annotation reference"/>
    <w:basedOn w:val="DefaultParagraphFont"/>
    <w:uiPriority w:val="99"/>
    <w:semiHidden/>
    <w:unhideWhenUsed/>
    <w:rsid w:val="00E169D9"/>
    <w:rPr>
      <w:sz w:val="16"/>
      <w:szCs w:val="16"/>
    </w:rPr>
  </w:style>
  <w:style w:type="paragraph" w:styleId="CommentText">
    <w:name w:val="annotation text"/>
    <w:basedOn w:val="Normal"/>
    <w:link w:val="CommentTextChar"/>
    <w:uiPriority w:val="99"/>
    <w:unhideWhenUsed/>
    <w:rsid w:val="00E169D9"/>
    <w:pPr>
      <w:spacing w:line="240" w:lineRule="auto"/>
    </w:pPr>
    <w:rPr>
      <w:sz w:val="20"/>
      <w:szCs w:val="20"/>
    </w:rPr>
  </w:style>
  <w:style w:type="character" w:customStyle="1" w:styleId="CommentTextChar">
    <w:name w:val="Comment Text Char"/>
    <w:basedOn w:val="DefaultParagraphFont"/>
    <w:link w:val="CommentText"/>
    <w:uiPriority w:val="99"/>
    <w:rsid w:val="00E169D9"/>
    <w:rPr>
      <w:sz w:val="20"/>
      <w:szCs w:val="20"/>
    </w:rPr>
  </w:style>
  <w:style w:type="paragraph" w:styleId="CommentSubject">
    <w:name w:val="annotation subject"/>
    <w:basedOn w:val="CommentText"/>
    <w:next w:val="CommentText"/>
    <w:link w:val="CommentSubjectChar"/>
    <w:uiPriority w:val="99"/>
    <w:semiHidden/>
    <w:unhideWhenUsed/>
    <w:rsid w:val="00E169D9"/>
    <w:rPr>
      <w:b/>
      <w:bCs/>
    </w:rPr>
  </w:style>
  <w:style w:type="character" w:customStyle="1" w:styleId="CommentSubjectChar">
    <w:name w:val="Comment Subject Char"/>
    <w:basedOn w:val="CommentTextChar"/>
    <w:link w:val="CommentSubject"/>
    <w:uiPriority w:val="99"/>
    <w:semiHidden/>
    <w:rsid w:val="00E169D9"/>
    <w:rPr>
      <w:b/>
      <w:bCs/>
      <w:sz w:val="20"/>
      <w:szCs w:val="20"/>
    </w:rPr>
  </w:style>
  <w:style w:type="paragraph" w:styleId="BalloonText">
    <w:name w:val="Balloon Text"/>
    <w:basedOn w:val="Normal"/>
    <w:link w:val="BalloonTextChar"/>
    <w:uiPriority w:val="99"/>
    <w:semiHidden/>
    <w:unhideWhenUsed/>
    <w:rsid w:val="00E1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9D9"/>
    <w:rPr>
      <w:rFonts w:ascii="Segoe UI" w:hAnsi="Segoe UI" w:cs="Segoe UI"/>
      <w:sz w:val="18"/>
      <w:szCs w:val="18"/>
    </w:rPr>
  </w:style>
  <w:style w:type="paragraph" w:styleId="NoSpacing">
    <w:name w:val="No Spacing"/>
    <w:link w:val="NoSpacingChar"/>
    <w:uiPriority w:val="1"/>
    <w:qFormat/>
    <w:rsid w:val="006E199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E1994"/>
    <w:rPr>
      <w:rFonts w:eastAsiaTheme="minorEastAsia"/>
      <w:lang w:val="en-US" w:eastAsia="ja-JP"/>
    </w:rPr>
  </w:style>
  <w:style w:type="table" w:styleId="TableGrid">
    <w:name w:val="Table Grid"/>
    <w:basedOn w:val="TableNormal"/>
    <w:uiPriority w:val="59"/>
    <w:rsid w:val="006E1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355A9"/>
    <w:rPr>
      <w:rFonts w:ascii="Calibri Light" w:eastAsiaTheme="majorEastAsia" w:hAnsi="Calibri Light" w:cstheme="majorBidi"/>
      <w:b/>
      <w:sz w:val="28"/>
      <w:szCs w:val="32"/>
    </w:rPr>
  </w:style>
  <w:style w:type="paragraph" w:styleId="TOCHeading">
    <w:name w:val="TOC Heading"/>
    <w:basedOn w:val="Heading1"/>
    <w:next w:val="Normal"/>
    <w:uiPriority w:val="39"/>
    <w:unhideWhenUsed/>
    <w:qFormat/>
    <w:rsid w:val="00792D3F"/>
    <w:pPr>
      <w:spacing w:line="259" w:lineRule="auto"/>
      <w:outlineLvl w:val="9"/>
    </w:pPr>
    <w:rPr>
      <w:color w:val="365F91" w:themeColor="accent1" w:themeShade="BF"/>
      <w:sz w:val="32"/>
      <w:lang w:val="en-US"/>
    </w:rPr>
  </w:style>
  <w:style w:type="paragraph" w:styleId="TOC1">
    <w:name w:val="toc 1"/>
    <w:basedOn w:val="Normal"/>
    <w:next w:val="Normal"/>
    <w:autoRedefine/>
    <w:uiPriority w:val="39"/>
    <w:unhideWhenUsed/>
    <w:rsid w:val="00792D3F"/>
    <w:pPr>
      <w:spacing w:before="240" w:after="120"/>
    </w:pPr>
    <w:rPr>
      <w:rFonts w:cstheme="minorHAnsi"/>
      <w:b/>
      <w:bCs/>
      <w:sz w:val="20"/>
      <w:szCs w:val="20"/>
    </w:rPr>
  </w:style>
  <w:style w:type="paragraph" w:styleId="TOC2">
    <w:name w:val="toc 2"/>
    <w:basedOn w:val="Normal"/>
    <w:next w:val="Normal"/>
    <w:autoRedefine/>
    <w:uiPriority w:val="39"/>
    <w:unhideWhenUsed/>
    <w:rsid w:val="00792D3F"/>
    <w:pPr>
      <w:spacing w:before="120" w:after="0"/>
      <w:ind w:left="220"/>
    </w:pPr>
    <w:rPr>
      <w:rFonts w:cstheme="minorHAnsi"/>
      <w:i/>
      <w:iCs/>
      <w:sz w:val="20"/>
      <w:szCs w:val="20"/>
    </w:rPr>
  </w:style>
  <w:style w:type="paragraph" w:styleId="TOC3">
    <w:name w:val="toc 3"/>
    <w:basedOn w:val="Normal"/>
    <w:next w:val="Normal"/>
    <w:autoRedefine/>
    <w:uiPriority w:val="39"/>
    <w:unhideWhenUsed/>
    <w:rsid w:val="00792D3F"/>
    <w:pPr>
      <w:spacing w:after="0"/>
      <w:ind w:left="440"/>
    </w:pPr>
    <w:rPr>
      <w:rFonts w:cstheme="minorHAnsi"/>
      <w:sz w:val="20"/>
      <w:szCs w:val="20"/>
    </w:rPr>
  </w:style>
  <w:style w:type="paragraph" w:styleId="TOC4">
    <w:name w:val="toc 4"/>
    <w:basedOn w:val="Normal"/>
    <w:next w:val="Normal"/>
    <w:autoRedefine/>
    <w:uiPriority w:val="39"/>
    <w:unhideWhenUsed/>
    <w:rsid w:val="00792D3F"/>
    <w:pPr>
      <w:spacing w:after="0"/>
      <w:ind w:left="660"/>
    </w:pPr>
    <w:rPr>
      <w:rFonts w:cstheme="minorHAnsi"/>
      <w:sz w:val="20"/>
      <w:szCs w:val="20"/>
    </w:rPr>
  </w:style>
  <w:style w:type="paragraph" w:styleId="TOC5">
    <w:name w:val="toc 5"/>
    <w:basedOn w:val="Normal"/>
    <w:next w:val="Normal"/>
    <w:autoRedefine/>
    <w:uiPriority w:val="39"/>
    <w:unhideWhenUsed/>
    <w:rsid w:val="00792D3F"/>
    <w:pPr>
      <w:spacing w:after="0"/>
      <w:ind w:left="880"/>
    </w:pPr>
    <w:rPr>
      <w:rFonts w:cstheme="minorHAnsi"/>
      <w:sz w:val="20"/>
      <w:szCs w:val="20"/>
    </w:rPr>
  </w:style>
  <w:style w:type="paragraph" w:styleId="TOC6">
    <w:name w:val="toc 6"/>
    <w:basedOn w:val="Normal"/>
    <w:next w:val="Normal"/>
    <w:autoRedefine/>
    <w:uiPriority w:val="39"/>
    <w:unhideWhenUsed/>
    <w:rsid w:val="00792D3F"/>
    <w:pPr>
      <w:spacing w:after="0"/>
      <w:ind w:left="1100"/>
    </w:pPr>
    <w:rPr>
      <w:rFonts w:cstheme="minorHAnsi"/>
      <w:sz w:val="20"/>
      <w:szCs w:val="20"/>
    </w:rPr>
  </w:style>
  <w:style w:type="paragraph" w:styleId="TOC7">
    <w:name w:val="toc 7"/>
    <w:basedOn w:val="Normal"/>
    <w:next w:val="Normal"/>
    <w:autoRedefine/>
    <w:uiPriority w:val="39"/>
    <w:unhideWhenUsed/>
    <w:rsid w:val="00792D3F"/>
    <w:pPr>
      <w:spacing w:after="0"/>
      <w:ind w:left="1320"/>
    </w:pPr>
    <w:rPr>
      <w:rFonts w:cstheme="minorHAnsi"/>
      <w:sz w:val="20"/>
      <w:szCs w:val="20"/>
    </w:rPr>
  </w:style>
  <w:style w:type="paragraph" w:styleId="TOC8">
    <w:name w:val="toc 8"/>
    <w:basedOn w:val="Normal"/>
    <w:next w:val="Normal"/>
    <w:autoRedefine/>
    <w:uiPriority w:val="39"/>
    <w:unhideWhenUsed/>
    <w:rsid w:val="00792D3F"/>
    <w:pPr>
      <w:spacing w:after="0"/>
      <w:ind w:left="1540"/>
    </w:pPr>
    <w:rPr>
      <w:rFonts w:cstheme="minorHAnsi"/>
      <w:sz w:val="20"/>
      <w:szCs w:val="20"/>
    </w:rPr>
  </w:style>
  <w:style w:type="paragraph" w:styleId="TOC9">
    <w:name w:val="toc 9"/>
    <w:basedOn w:val="Normal"/>
    <w:next w:val="Normal"/>
    <w:autoRedefine/>
    <w:uiPriority w:val="39"/>
    <w:unhideWhenUsed/>
    <w:rsid w:val="00792D3F"/>
    <w:pPr>
      <w:spacing w:after="0"/>
      <w:ind w:left="1760"/>
    </w:pPr>
    <w:rPr>
      <w:rFonts w:cstheme="minorHAnsi"/>
      <w:sz w:val="20"/>
      <w:szCs w:val="20"/>
    </w:rPr>
  </w:style>
  <w:style w:type="paragraph" w:styleId="Revision">
    <w:name w:val="Revision"/>
    <w:hidden/>
    <w:uiPriority w:val="99"/>
    <w:semiHidden/>
    <w:rsid w:val="00A45A0D"/>
    <w:pPr>
      <w:spacing w:after="0" w:line="240" w:lineRule="auto"/>
    </w:pPr>
  </w:style>
  <w:style w:type="character" w:styleId="UnresolvedMention">
    <w:name w:val="Unresolved Mention"/>
    <w:basedOn w:val="DefaultParagraphFont"/>
    <w:uiPriority w:val="99"/>
    <w:semiHidden/>
    <w:unhideWhenUsed/>
    <w:rsid w:val="00033978"/>
    <w:rPr>
      <w:color w:val="605E5C"/>
      <w:shd w:val="clear" w:color="auto" w:fill="E1DFDD"/>
    </w:rPr>
  </w:style>
  <w:style w:type="character" w:customStyle="1" w:styleId="Heading2Char">
    <w:name w:val="Heading 2 Char"/>
    <w:basedOn w:val="DefaultParagraphFont"/>
    <w:link w:val="Heading2"/>
    <w:uiPriority w:val="9"/>
    <w:rsid w:val="00C41DB2"/>
    <w:rPr>
      <w:rFonts w:ascii="Calibri" w:eastAsiaTheme="majorEastAsia" w:hAnsi="Calibri" w:cstheme="majorBidi"/>
      <w:color w:val="000000" w:themeColor="text1"/>
      <w:sz w:val="24"/>
      <w:szCs w:val="26"/>
      <w:u w:val="single"/>
    </w:rPr>
  </w:style>
  <w:style w:type="table" w:customStyle="1" w:styleId="GridTable4-Accent51">
    <w:name w:val="Grid Table 4 - Accent 51"/>
    <w:basedOn w:val="TableNormal"/>
    <w:next w:val="TableNormal"/>
    <w:uiPriority w:val="49"/>
    <w:rsid w:val="008303DE"/>
    <w:pPr>
      <w:spacing w:after="0" w:line="240" w:lineRule="auto"/>
    </w:pPr>
    <w:rPr>
      <w:rFonts w:eastAsiaTheme="minorEastAsia"/>
      <w:lang w:eastAsia="en-G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29472">
      <w:bodyDiv w:val="1"/>
      <w:marLeft w:val="0"/>
      <w:marRight w:val="0"/>
      <w:marTop w:val="0"/>
      <w:marBottom w:val="0"/>
      <w:divBdr>
        <w:top w:val="none" w:sz="0" w:space="0" w:color="auto"/>
        <w:left w:val="none" w:sz="0" w:space="0" w:color="auto"/>
        <w:bottom w:val="none" w:sz="0" w:space="0" w:color="auto"/>
        <w:right w:val="none" w:sz="0" w:space="0" w:color="auto"/>
      </w:divBdr>
    </w:div>
    <w:div w:id="476847191">
      <w:bodyDiv w:val="1"/>
      <w:marLeft w:val="0"/>
      <w:marRight w:val="0"/>
      <w:marTop w:val="0"/>
      <w:marBottom w:val="0"/>
      <w:divBdr>
        <w:top w:val="none" w:sz="0" w:space="0" w:color="auto"/>
        <w:left w:val="none" w:sz="0" w:space="0" w:color="auto"/>
        <w:bottom w:val="none" w:sz="0" w:space="0" w:color="auto"/>
        <w:right w:val="none" w:sz="0" w:space="0" w:color="auto"/>
      </w:divBdr>
    </w:div>
    <w:div w:id="613563899">
      <w:bodyDiv w:val="1"/>
      <w:marLeft w:val="0"/>
      <w:marRight w:val="0"/>
      <w:marTop w:val="0"/>
      <w:marBottom w:val="0"/>
      <w:divBdr>
        <w:top w:val="none" w:sz="0" w:space="0" w:color="auto"/>
        <w:left w:val="none" w:sz="0" w:space="0" w:color="auto"/>
        <w:bottom w:val="none" w:sz="0" w:space="0" w:color="auto"/>
        <w:right w:val="none" w:sz="0" w:space="0" w:color="auto"/>
      </w:divBdr>
    </w:div>
    <w:div w:id="627010777">
      <w:bodyDiv w:val="1"/>
      <w:marLeft w:val="0"/>
      <w:marRight w:val="0"/>
      <w:marTop w:val="0"/>
      <w:marBottom w:val="0"/>
      <w:divBdr>
        <w:top w:val="none" w:sz="0" w:space="0" w:color="auto"/>
        <w:left w:val="none" w:sz="0" w:space="0" w:color="auto"/>
        <w:bottom w:val="none" w:sz="0" w:space="0" w:color="auto"/>
        <w:right w:val="none" w:sz="0" w:space="0" w:color="auto"/>
      </w:divBdr>
    </w:div>
    <w:div w:id="884634415">
      <w:bodyDiv w:val="1"/>
      <w:marLeft w:val="0"/>
      <w:marRight w:val="0"/>
      <w:marTop w:val="0"/>
      <w:marBottom w:val="0"/>
      <w:divBdr>
        <w:top w:val="none" w:sz="0" w:space="0" w:color="auto"/>
        <w:left w:val="none" w:sz="0" w:space="0" w:color="auto"/>
        <w:bottom w:val="none" w:sz="0" w:space="0" w:color="auto"/>
        <w:right w:val="none" w:sz="0" w:space="0" w:color="auto"/>
      </w:divBdr>
    </w:div>
    <w:div w:id="1053039106">
      <w:bodyDiv w:val="1"/>
      <w:marLeft w:val="0"/>
      <w:marRight w:val="0"/>
      <w:marTop w:val="0"/>
      <w:marBottom w:val="0"/>
      <w:divBdr>
        <w:top w:val="none" w:sz="0" w:space="0" w:color="auto"/>
        <w:left w:val="none" w:sz="0" w:space="0" w:color="auto"/>
        <w:bottom w:val="none" w:sz="0" w:space="0" w:color="auto"/>
        <w:right w:val="none" w:sz="0" w:space="0" w:color="auto"/>
      </w:divBdr>
    </w:div>
    <w:div w:id="1193573157">
      <w:bodyDiv w:val="1"/>
      <w:marLeft w:val="0"/>
      <w:marRight w:val="0"/>
      <w:marTop w:val="0"/>
      <w:marBottom w:val="0"/>
      <w:divBdr>
        <w:top w:val="none" w:sz="0" w:space="0" w:color="auto"/>
        <w:left w:val="none" w:sz="0" w:space="0" w:color="auto"/>
        <w:bottom w:val="none" w:sz="0" w:space="0" w:color="auto"/>
        <w:right w:val="none" w:sz="0" w:space="0" w:color="auto"/>
      </w:divBdr>
    </w:div>
    <w:div w:id="1685521326">
      <w:bodyDiv w:val="1"/>
      <w:marLeft w:val="0"/>
      <w:marRight w:val="0"/>
      <w:marTop w:val="0"/>
      <w:marBottom w:val="0"/>
      <w:divBdr>
        <w:top w:val="none" w:sz="0" w:space="0" w:color="auto"/>
        <w:left w:val="none" w:sz="0" w:space="0" w:color="auto"/>
        <w:bottom w:val="none" w:sz="0" w:space="0" w:color="auto"/>
        <w:right w:val="none" w:sz="0" w:space="0" w:color="auto"/>
      </w:divBdr>
    </w:div>
    <w:div w:id="170729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a.gov.sg/3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1.bca.gov.sg/buildsg/sustainability/green-mark-certification-scheme/green-mark-assessment-criteria-and-online-applica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a.gov.sg/3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All rights reserved. The Green Lease Toolkit is electronically published by the Building and Construction Authority</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23C9E3C35624C8878EB2394E657C7" ma:contentTypeVersion="3" ma:contentTypeDescription="Create a new document." ma:contentTypeScope="" ma:versionID="2682c425a5276d51d063ab7ebe736686">
  <xsd:schema xmlns:xsd="http://www.w3.org/2001/XMLSchema" xmlns:xs="http://www.w3.org/2001/XMLSchema" xmlns:p="http://schemas.microsoft.com/office/2006/metadata/properties" xmlns:ns2="e3ed5a5c-e8e8-4770-9c35-2c2c05cbcd9d" targetNamespace="http://schemas.microsoft.com/office/2006/metadata/properties" ma:root="true" ma:fieldsID="a0699cbdf25ef8120c6695d91619b453" ns2:_="">
    <xsd:import namespace="e3ed5a5c-e8e8-4770-9c35-2c2c05cbcd9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5a5c-e8e8-4770-9c35-2c2c05cbcd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43E51D-BA8E-4664-BF81-01771C17158B}">
  <ds:schemaRefs>
    <ds:schemaRef ds:uri="http://schemas.microsoft.com/sharepoint/v3/contenttype/forms"/>
  </ds:schemaRefs>
</ds:datastoreItem>
</file>

<file path=customXml/itemProps3.xml><?xml version="1.0" encoding="utf-8"?>
<ds:datastoreItem xmlns:ds="http://schemas.openxmlformats.org/officeDocument/2006/customXml" ds:itemID="{4CF63CF1-7405-4AB9-A2EC-2F7F585E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d5a5c-e8e8-4770-9c35-2c2c05cbc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F6E46-033C-48CE-88DB-1E8FA35492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DDFA1F3-0DEE-43BE-B6D5-8D8A988D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Green Schedule</vt:lpstr>
    </vt:vector>
  </TitlesOfParts>
  <Company>BCA Green Lease Toolkit:</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Schedule</dc:title>
  <dc:subject>Version 2.0</dc:subject>
  <dc:creator>BCA</dc:creator>
  <cp:keywords>BCA Green Mark</cp:keywords>
  <cp:lastModifiedBy>Benjamin TOWELL (BCA)</cp:lastModifiedBy>
  <cp:revision>2</cp:revision>
  <cp:lastPrinted>2014-06-17T07:11:00Z</cp:lastPrinted>
  <dcterms:created xsi:type="dcterms:W3CDTF">2021-09-16T03:02:00Z</dcterms:created>
  <dcterms:modified xsi:type="dcterms:W3CDTF">2021-09-16T03:02:00Z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0x0101007EC23C9E3C35624C8878EB2394E657C7</vt:lpwstr>
  </property>
  <property fmtid="{D5CDD505-2E9C-101B-9397-08002B2CF9AE}" pid="3" name="MSIP_Label_5434c4c7-833e-41e4-b0ab-cdb227a2f6f7_Enabled">
    <vt:lpwstr>True</vt:lpwstr>
  </property>
  <property fmtid="{D5CDD505-2E9C-101B-9397-08002B2CF9AE}" pid="4" name="MSIP_Label_5434c4c7-833e-41e4-b0ab-cdb227a2f6f7_SiteId">
    <vt:lpwstr>0b11c524-9a1c-4e1b-84cb-6336aefc2243</vt:lpwstr>
  </property>
  <property fmtid="{D5CDD505-2E9C-101B-9397-08002B2CF9AE}" pid="5" name="MSIP_Label_5434c4c7-833e-41e4-b0ab-cdb227a2f6f7_Owner">
    <vt:lpwstr>Benjamin_TOWELL@bca.gov.sg</vt:lpwstr>
  </property>
  <property fmtid="{D5CDD505-2E9C-101B-9397-08002B2CF9AE}" pid="6" name="MSIP_Label_5434c4c7-833e-41e4-b0ab-cdb227a2f6f7_SetDate">
    <vt:lpwstr>2021-09-15T08:59:43.1474089Z</vt:lpwstr>
  </property>
  <property fmtid="{D5CDD505-2E9C-101B-9397-08002B2CF9AE}" pid="7" name="MSIP_Label_5434c4c7-833e-41e4-b0ab-cdb227a2f6f7_Name">
    <vt:lpwstr>OFFICIAL (OPEN)</vt:lpwstr>
  </property>
  <property fmtid="{D5CDD505-2E9C-101B-9397-08002B2CF9AE}" pid="8" name="MSIP_Label_5434c4c7-833e-41e4-b0ab-cdb227a2f6f7_Application">
    <vt:lpwstr>Microsoft Azure Information Protection</vt:lpwstr>
  </property>
  <property fmtid="{D5CDD505-2E9C-101B-9397-08002B2CF9AE}" pid="9" name="MSIP_Label_5434c4c7-833e-41e4-b0ab-cdb227a2f6f7_ActionId">
    <vt:lpwstr>4663b6a2-2637-4744-acc6-4630e5b7fde5</vt:lpwstr>
  </property>
  <property fmtid="{D5CDD505-2E9C-101B-9397-08002B2CF9AE}" pid="10" name="MSIP_Label_5434c4c7-833e-41e4-b0ab-cdb227a2f6f7_Extended_MSFT_Method">
    <vt:lpwstr>Manual</vt:lpwstr>
  </property>
  <property fmtid="{D5CDD505-2E9C-101B-9397-08002B2CF9AE}" pid="11" name="Sensitivity">
    <vt:lpwstr>OFFICIAL (OPEN)</vt:lpwstr>
  </property>
</Properties>
</file>